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E7" w:rsidRPr="0017319C" w:rsidRDefault="00384247" w:rsidP="00736BE7">
      <w:pPr>
        <w:spacing w:before="120"/>
        <w:ind w:left="-1134"/>
        <w:rPr>
          <w:rFonts w:ascii="Arial" w:hAnsi="Arial" w:cs="Arial"/>
          <w:sz w:val="22"/>
          <w:lang w:val="en-US"/>
        </w:rPr>
      </w:pPr>
      <w:r w:rsidRPr="00384247">
        <w:rPr>
          <w:rFonts w:ascii="Arial" w:hAnsi="Arial" w:cs="Arial"/>
          <w:noProof/>
          <w:sz w:val="22"/>
          <w:lang w:val="en-US"/>
        </w:rPr>
        <w:pict>
          <v:group id="_x0000_s1026" style="position:absolute;left:0;text-align:left;margin-left:-56.7pt;margin-top:-113.4pt;width:595.2pt;height:198.45pt;z-index:251660288" coordsize="11904,39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0" o:spid="_x0000_s1027" type="#_x0000_t75" alt="l_top.jpg" style="position:absolute;width:11904;height:1993;visibility:visible;mso-position-horizontal-relative:page;mso-position-vertical-relative:page" o:allowincell="f">
              <v:imagedata r:id="rId7" o:title="l_top"/>
            </v:shape>
            <v:rect id="_x0000_s1028" style="position:absolute;left:1134;top:1985;width:9638;height:1984;flip:x;mso-wrap-distance-left:0;mso-wrap-distance-right:0;mso-wrap-distance-bottom:14.2pt;mso-position-horizontal-relative:page;mso-position-vertical-relative:page;mso-width-relative:margin" o:allowincell="f" o:allowoverlap="f" filled="f" fillcolor="black" stroked="f" strokeweight="1.5pt">
              <v:shadow color="#f79646" opacity=".5" offset="-15pt,0" offset2="-18pt,12pt"/>
              <v:textbox style="mso-next-textbox:#_x0000_s1028" inset="0,0,0,0">
                <w:txbxContent>
                  <w:tbl>
                    <w:tblPr>
                      <w:tblW w:w="9639" w:type="dxa"/>
                      <w:tblBorders>
                        <w:top w:val="single" w:sz="4" w:space="0" w:color="000000"/>
                        <w:bottom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9639"/>
                    </w:tblGrid>
                    <w:tr w:rsidR="00333F0D" w:rsidRPr="00AD49A4" w:rsidTr="001A2A39">
                      <w:trPr>
                        <w:cantSplit/>
                        <w:trHeight w:hRule="exact" w:val="1418"/>
                      </w:trPr>
                      <w:tc>
                        <w:tcPr>
                          <w:tcW w:w="9653" w:type="dxa"/>
                          <w:tcBorders>
                            <w:top w:val="nil"/>
                          </w:tcBorders>
                          <w:noWrap/>
                          <w:vAlign w:val="center"/>
                        </w:tcPr>
                        <w:p w:rsidR="00333F0D" w:rsidRPr="00890292" w:rsidRDefault="00333F0D" w:rsidP="001A2A39">
                          <w:pPr>
                            <w:pStyle w:val="Default"/>
                            <w:jc w:val="center"/>
                            <w:rPr>
                              <w:rFonts w:ascii="Impact" w:hAnsi="Impact" w:cs="Impact"/>
                              <w:b w:val="0"/>
                              <w:bCs w:val="0"/>
                              <w:caps/>
                              <w:color w:val="183C6C"/>
                              <w:kern w:val="26"/>
                              <w:sz w:val="26"/>
                              <w:szCs w:val="26"/>
                              <w:lang w:val="ru-RU"/>
                            </w:rPr>
                          </w:pPr>
                          <w:r w:rsidRPr="00890292">
                            <w:rPr>
                              <w:rFonts w:ascii="Impact" w:hAnsi="Impact" w:cs="Impact"/>
                              <w:b w:val="0"/>
                              <w:bCs w:val="0"/>
                              <w:caps/>
                              <w:color w:val="183C6C"/>
                              <w:kern w:val="26"/>
                              <w:sz w:val="26"/>
                              <w:szCs w:val="26"/>
                              <w:lang w:val="ru-RU"/>
                            </w:rPr>
                            <w:t>Кыргыз Республикасында пенитенциардык тутумдун реформасын колдоо</w:t>
                          </w:r>
                        </w:p>
                        <w:p w:rsidR="00333F0D" w:rsidRPr="00890292" w:rsidRDefault="00333F0D" w:rsidP="001A2A39">
                          <w:pPr>
                            <w:pStyle w:val="Default"/>
                            <w:jc w:val="center"/>
                            <w:rPr>
                              <w:rFonts w:ascii="Impact" w:hAnsi="Impact" w:cs="Impact"/>
                              <w:b w:val="0"/>
                              <w:bCs w:val="0"/>
                              <w:caps/>
                              <w:color w:val="183C6C"/>
                              <w:kern w:val="26"/>
                              <w:sz w:val="26"/>
                              <w:szCs w:val="26"/>
                              <w:lang w:val="ru-RU"/>
                            </w:rPr>
                          </w:pPr>
                          <w:r w:rsidRPr="00890292">
                            <w:rPr>
                              <w:rFonts w:ascii="Impact" w:hAnsi="Impact" w:cs="Impact"/>
                              <w:b w:val="0"/>
                              <w:bCs w:val="0"/>
                              <w:caps/>
                              <w:color w:val="183C6C"/>
                              <w:kern w:val="26"/>
                              <w:sz w:val="26"/>
                              <w:szCs w:val="26"/>
                              <w:lang w:val="ru-RU"/>
                            </w:rPr>
                            <w:t>Поддержка реформы пенитенциарной системы в</w:t>
                          </w:r>
                          <w:r w:rsidRPr="00AD49A4">
                            <w:rPr>
                              <w:rFonts w:ascii="Impact" w:hAnsi="Impact" w:cs="Impact"/>
                              <w:b w:val="0"/>
                              <w:bCs w:val="0"/>
                              <w:caps/>
                              <w:color w:val="183C6C"/>
                              <w:kern w:val="26"/>
                              <w:sz w:val="26"/>
                              <w:szCs w:val="26"/>
                            </w:rPr>
                            <w:t> </w:t>
                          </w:r>
                          <w:r w:rsidRPr="00890292">
                            <w:rPr>
                              <w:rFonts w:ascii="Impact" w:hAnsi="Impact" w:cs="Impact"/>
                              <w:b w:val="0"/>
                              <w:bCs w:val="0"/>
                              <w:caps/>
                              <w:color w:val="183C6C"/>
                              <w:kern w:val="26"/>
                              <w:sz w:val="26"/>
                              <w:szCs w:val="26"/>
                              <w:lang w:val="ru-RU"/>
                            </w:rPr>
                            <w:t>Кыргызской Республике</w:t>
                          </w:r>
                        </w:p>
                        <w:p w:rsidR="00333F0D" w:rsidRPr="00AD49A4" w:rsidRDefault="00333F0D" w:rsidP="001A2A39">
                          <w:pPr>
                            <w:jc w:val="center"/>
                            <w:rPr>
                              <w:color w:val="4F81BD"/>
                              <w:szCs w:val="20"/>
                            </w:rPr>
                          </w:pPr>
                          <w:r w:rsidRPr="00AD49A4">
                            <w:rPr>
                              <w:rFonts w:ascii="Impact" w:hAnsi="Impact" w:cs="Impact"/>
                              <w:bCs/>
                              <w:caps/>
                              <w:color w:val="183C6C"/>
                              <w:kern w:val="26"/>
                              <w:sz w:val="26"/>
                              <w:szCs w:val="26"/>
                            </w:rPr>
                            <w:t xml:space="preserve">Support to Prison Reform in the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AD49A4">
                                <w:rPr>
                                  <w:rFonts w:ascii="Impact" w:hAnsi="Impact" w:cs="Impact"/>
                                  <w:bCs/>
                                  <w:caps/>
                                  <w:color w:val="183C6C"/>
                                  <w:kern w:val="26"/>
                                  <w:sz w:val="26"/>
                                  <w:szCs w:val="26"/>
                                </w:rPr>
                                <w:t>Kyrgyz</w:t>
                              </w:r>
                            </w:smartTag>
                            <w:r w:rsidRPr="00AD49A4">
                              <w:rPr>
                                <w:rFonts w:ascii="Impact" w:hAnsi="Impact" w:cs="Impact"/>
                                <w:bCs/>
                                <w:caps/>
                                <w:color w:val="183C6C"/>
                                <w:kern w:val="26"/>
                                <w:sz w:val="26"/>
                                <w:szCs w:val="2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AD49A4">
                                <w:rPr>
                                  <w:rFonts w:ascii="Impact" w:hAnsi="Impact" w:cs="Impact"/>
                                  <w:bCs/>
                                  <w:caps/>
                                  <w:color w:val="183C6C"/>
                                  <w:kern w:val="26"/>
                                  <w:sz w:val="26"/>
                                  <w:szCs w:val="26"/>
                                </w:rPr>
                                <w:t>Republic</w:t>
                              </w:r>
                            </w:smartTag>
                          </w:smartTag>
                        </w:p>
                      </w:tc>
                    </w:tr>
                    <w:tr w:rsidR="00333F0D" w:rsidRPr="00AD49A4" w:rsidTr="001A2A39">
                      <w:trPr>
                        <w:cantSplit/>
                        <w:trHeight w:hRule="exact" w:val="284"/>
                      </w:trPr>
                      <w:tc>
                        <w:tcPr>
                          <w:tcW w:w="9653" w:type="dxa"/>
                          <w:noWrap/>
                          <w:vAlign w:val="center"/>
                        </w:tcPr>
                        <w:p w:rsidR="00333F0D" w:rsidRPr="00AD49A4" w:rsidRDefault="00333F0D" w:rsidP="001A2A39">
                          <w:pPr>
                            <w:pStyle w:val="Default"/>
                            <w:jc w:val="center"/>
                            <w:rPr>
                              <w:b w:val="0"/>
                              <w:bCs w:val="0"/>
                              <w:noProof/>
                              <w:color w:val="183C6C"/>
                              <w:sz w:val="20"/>
                              <w:szCs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noProof/>
                              <w:color w:val="183C6C"/>
                              <w:sz w:val="20"/>
                              <w:szCs w:val="20"/>
                            </w:rPr>
                            <w:t>31</w:t>
                          </w:r>
                          <w:r w:rsidRPr="00AD49A4">
                            <w:rPr>
                              <w:b w:val="0"/>
                              <w:bCs w:val="0"/>
                              <w:noProof/>
                              <w:color w:val="183C6C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b w:val="0"/>
                              <w:bCs w:val="0"/>
                              <w:noProof/>
                              <w:color w:val="183C6C"/>
                              <w:sz w:val="20"/>
                              <w:szCs w:val="20"/>
                            </w:rPr>
                            <w:t>2</w:t>
                          </w:r>
                          <w:r w:rsidRPr="00AD49A4">
                            <w:rPr>
                              <w:b w:val="0"/>
                              <w:bCs w:val="0"/>
                              <w:noProof/>
                              <w:color w:val="183C6C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b w:val="0"/>
                              <w:bCs w:val="0"/>
                              <w:noProof/>
                              <w:color w:val="183C6C"/>
                              <w:sz w:val="20"/>
                              <w:szCs w:val="20"/>
                            </w:rPr>
                            <w:t>Razzakov</w:t>
                          </w:r>
                          <w:r w:rsidRPr="00AD49A4">
                            <w:rPr>
                              <w:b w:val="0"/>
                              <w:bCs w:val="0"/>
                              <w:noProof/>
                              <w:color w:val="183C6C"/>
                              <w:sz w:val="20"/>
                              <w:szCs w:val="20"/>
                            </w:rPr>
                            <w:t xml:space="preserve"> Str.,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AD49A4">
                                <w:rPr>
                                  <w:b w:val="0"/>
                                  <w:bCs w:val="0"/>
                                  <w:noProof/>
                                  <w:color w:val="183C6C"/>
                                  <w:sz w:val="20"/>
                                  <w:szCs w:val="20"/>
                                </w:rPr>
                                <w:t>Bishkek</w:t>
                              </w:r>
                            </w:smartTag>
                            <w:r w:rsidRPr="00AD49A4">
                              <w:rPr>
                                <w:b w:val="0"/>
                                <w:bCs w:val="0"/>
                                <w:noProof/>
                                <w:color w:val="183C6C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 w:rsidRPr="00AD49A4">
                                <w:rPr>
                                  <w:b w:val="0"/>
                                  <w:bCs w:val="0"/>
                                  <w:noProof/>
                                  <w:color w:val="183C6C"/>
                                  <w:sz w:val="20"/>
                                  <w:szCs w:val="20"/>
                                </w:rPr>
                                <w:t>Kyrgyzstan</w:t>
                              </w:r>
                            </w:smartTag>
                          </w:smartTag>
                          <w:r w:rsidRPr="00AD49A4">
                            <w:rPr>
                              <w:b w:val="0"/>
                              <w:bCs w:val="0"/>
                              <w:noProof/>
                              <w:color w:val="183C6C"/>
                              <w:sz w:val="20"/>
                              <w:szCs w:val="20"/>
                            </w:rPr>
                            <w:t xml:space="preserve"> • Tel.:  +996 (312) 32-1732</w:t>
                          </w:r>
                        </w:p>
                        <w:p w:rsidR="00333F0D" w:rsidRPr="00AD49A4" w:rsidRDefault="00333F0D" w:rsidP="001A2A39">
                          <w:pPr>
                            <w:jc w:val="center"/>
                            <w:rPr>
                              <w:color w:val="4F81BD"/>
                              <w:szCs w:val="20"/>
                            </w:rPr>
                          </w:pPr>
                        </w:p>
                      </w:tc>
                    </w:tr>
                  </w:tbl>
                  <w:p w:rsidR="00333F0D" w:rsidRPr="00AD49A4" w:rsidRDefault="00333F0D" w:rsidP="00736BE7">
                    <w:pPr>
                      <w:rPr>
                        <w:color w:val="4F81BD"/>
                        <w:szCs w:val="20"/>
                      </w:rPr>
                    </w:pPr>
                  </w:p>
                </w:txbxContent>
              </v:textbox>
            </v:rect>
          </v:group>
        </w:pict>
      </w:r>
      <w:r w:rsidRPr="00384247">
        <w:rPr>
          <w:rFonts w:ascii="Arial" w:hAnsi="Arial" w:cs="Arial"/>
          <w:noProof/>
          <w:sz w:val="22"/>
          <w:lang w:val="en-US"/>
        </w:rPr>
        <w:pict>
          <v:rect id="_x0000_s1029" style="position:absolute;left:0;text-align:left;margin-left:0;margin-top:0;width:481.9pt;height:113.4pt;flip:x;z-index:251661312;mso-wrap-distance-left:0;mso-wrap-distance-right:0;mso-wrap-distance-bottom:14.2pt;mso-position-horizontal:center;mso-position-horizontal-relative:margin;mso-position-vertical:bottom;mso-position-vertical-relative:page;mso-width-relative:margin" o:allowincell="f" o:allowoverlap="f" filled="f" fillcolor="black" stroked="f" strokeweight="1.5pt">
            <v:shadow color="#f79646" opacity=".5" offset="-15pt,0" offset2="-18pt,12pt"/>
            <v:textbox style="mso-next-textbox:#_x0000_s1029" inset="0,0,0,0">
              <w:txbxContent>
                <w:tbl>
                  <w:tblPr>
                    <w:tblW w:w="9639" w:type="dxa"/>
                    <w:tblBorders>
                      <w:insideH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19"/>
                    <w:gridCol w:w="4820"/>
                  </w:tblGrid>
                  <w:tr w:rsidR="00333F0D" w:rsidRPr="00AD49A4" w:rsidTr="001A2A39">
                    <w:trPr>
                      <w:cantSplit/>
                      <w:trHeight w:hRule="exact" w:val="851"/>
                    </w:trPr>
                    <w:tc>
                      <w:tcPr>
                        <w:tcW w:w="4819" w:type="dxa"/>
                        <w:noWrap/>
                        <w:vAlign w:val="center"/>
                      </w:tcPr>
                      <w:p w:rsidR="00333F0D" w:rsidRPr="00AD49A4" w:rsidRDefault="00333F0D" w:rsidP="001A2A39">
                        <w:pPr>
                          <w:rPr>
                            <w:color w:val="4F81BD"/>
                            <w:szCs w:val="20"/>
                          </w:rPr>
                        </w:pPr>
                        <w:r>
                          <w:rPr>
                            <w:noProof/>
                            <w:color w:val="4F81BD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533400" cy="361950"/>
                              <wp:effectExtent l="19050" t="0" r="0" b="0"/>
                              <wp:docPr id="1" name="Picture 2" descr="eu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eu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33F0D" w:rsidRPr="00AD49A4" w:rsidRDefault="00333F0D" w:rsidP="001A2A39">
                        <w:pPr>
                          <w:jc w:val="right"/>
                          <w:rPr>
                            <w:color w:val="4F81BD"/>
                            <w:szCs w:val="20"/>
                          </w:rPr>
                        </w:pPr>
                        <w:r>
                          <w:rPr>
                            <w:noProof/>
                            <w:color w:val="4F81BD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266825" cy="219075"/>
                              <wp:effectExtent l="19050" t="0" r="9525" b="0"/>
                              <wp:docPr id="2" name="Picture 3" descr="unod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unod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68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33F0D" w:rsidRPr="00AD49A4" w:rsidTr="001A2A39">
                    <w:trPr>
                      <w:cantSplit/>
                      <w:trHeight w:hRule="exact" w:val="850"/>
                    </w:trPr>
                    <w:tc>
                      <w:tcPr>
                        <w:tcW w:w="4819" w:type="dxa"/>
                        <w:noWrap/>
                        <w:vAlign w:val="center"/>
                      </w:tcPr>
                      <w:p w:rsidR="00333F0D" w:rsidRPr="00AD49A4" w:rsidRDefault="00333F0D" w:rsidP="001A2A39">
                        <w:pPr>
                          <w:pStyle w:val="NoParagraphStyle"/>
                          <w:spacing w:line="240" w:lineRule="auto"/>
                          <w:rPr>
                            <w:rFonts w:ascii="Myriad Pro" w:hAnsi="Myriad Pro" w:cs="Myriad Pro"/>
                            <w:noProof/>
                            <w:color w:val="183C80"/>
                            <w:sz w:val="18"/>
                            <w:szCs w:val="18"/>
                            <w:lang w:val="en-GB"/>
                          </w:rPr>
                        </w:pPr>
                        <w:r w:rsidRPr="00AD49A4">
                          <w:rPr>
                            <w:rFonts w:ascii="Myriad Pro" w:hAnsi="Myriad Pro" w:cs="Myriad Pro"/>
                            <w:noProof/>
                            <w:color w:val="183C80"/>
                            <w:sz w:val="18"/>
                            <w:szCs w:val="18"/>
                            <w:lang w:val="en-GB"/>
                          </w:rPr>
                          <w:t>The project is funded by the European Union</w:t>
                        </w:r>
                      </w:p>
                      <w:p w:rsidR="00333F0D" w:rsidRPr="00AD49A4" w:rsidRDefault="00333F0D" w:rsidP="001A2A39">
                        <w:pPr>
                          <w:pStyle w:val="NoParagraphStyle"/>
                          <w:spacing w:line="240" w:lineRule="auto"/>
                          <w:rPr>
                            <w:rFonts w:ascii="Myriad Pro" w:hAnsi="Myriad Pro" w:cs="Myriad Pro"/>
                            <w:noProof/>
                            <w:color w:val="183C80"/>
                            <w:sz w:val="18"/>
                            <w:szCs w:val="18"/>
                            <w:lang w:val="en-GB"/>
                          </w:rPr>
                        </w:pPr>
                        <w:r w:rsidRPr="00AD49A4">
                          <w:rPr>
                            <w:rFonts w:ascii="Myriad Pro" w:hAnsi="Myriad Pro" w:cs="Myriad Pro"/>
                            <w:noProof/>
                            <w:color w:val="183C80"/>
                            <w:sz w:val="18"/>
                            <w:szCs w:val="18"/>
                            <w:lang w:val="en-GB"/>
                          </w:rPr>
                          <w:t>Проект финансируется Европейским Союзом</w: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33F0D" w:rsidRPr="00AD49A4" w:rsidRDefault="00333F0D" w:rsidP="001A2A39">
                        <w:pPr>
                          <w:pStyle w:val="Default"/>
                          <w:spacing w:line="240" w:lineRule="auto"/>
                          <w:jc w:val="right"/>
                          <w:rPr>
                            <w:b w:val="0"/>
                            <w:color w:val="183C80"/>
                            <w:sz w:val="18"/>
                            <w:szCs w:val="18"/>
                          </w:rPr>
                        </w:pPr>
                        <w:r w:rsidRPr="00AD49A4">
                          <w:rPr>
                            <w:b w:val="0"/>
                            <w:color w:val="183C80"/>
                            <w:sz w:val="18"/>
                            <w:szCs w:val="18"/>
                          </w:rPr>
                          <w:t>The project is implemented by the UNODC</w:t>
                        </w:r>
                      </w:p>
                      <w:p w:rsidR="00333F0D" w:rsidRPr="00AD49A4" w:rsidRDefault="00333F0D" w:rsidP="001A2A39">
                        <w:pPr>
                          <w:pStyle w:val="Default"/>
                          <w:spacing w:line="240" w:lineRule="auto"/>
                          <w:jc w:val="right"/>
                          <w:rPr>
                            <w:b w:val="0"/>
                            <w:color w:val="183C80"/>
                            <w:sz w:val="18"/>
                            <w:szCs w:val="18"/>
                          </w:rPr>
                        </w:pPr>
                        <w:r w:rsidRPr="00AD49A4">
                          <w:rPr>
                            <w:b w:val="0"/>
                            <w:color w:val="183C80"/>
                            <w:sz w:val="18"/>
                            <w:szCs w:val="18"/>
                          </w:rPr>
                          <w:t>Проект реализуется ЮНОДК</w:t>
                        </w:r>
                      </w:p>
                    </w:tc>
                  </w:tr>
                </w:tbl>
                <w:p w:rsidR="00333F0D" w:rsidRPr="00AD49A4" w:rsidRDefault="00333F0D" w:rsidP="00736BE7">
                  <w:pPr>
                    <w:rPr>
                      <w:color w:val="4F81BD"/>
                      <w:szCs w:val="20"/>
                    </w:rPr>
                  </w:pPr>
                </w:p>
              </w:txbxContent>
            </v:textbox>
            <w10:wrap anchorx="margin" anchory="page"/>
            <w10:anchorlock/>
          </v:rect>
        </w:pict>
      </w:r>
    </w:p>
    <w:p w:rsidR="00736BE7" w:rsidRPr="0017319C" w:rsidRDefault="00736BE7" w:rsidP="00736BE7">
      <w:pPr>
        <w:spacing w:before="120"/>
        <w:rPr>
          <w:rFonts w:ascii="Arial" w:hAnsi="Arial" w:cs="Arial"/>
          <w:sz w:val="22"/>
          <w:lang w:val="ru-RU"/>
        </w:rPr>
      </w:pPr>
    </w:p>
    <w:p w:rsidR="00736BE7" w:rsidRPr="0017319C" w:rsidRDefault="00736BE7" w:rsidP="00736BE7">
      <w:pPr>
        <w:rPr>
          <w:rFonts w:ascii="Arial" w:hAnsi="Arial" w:cs="Arial"/>
          <w:sz w:val="22"/>
        </w:rPr>
      </w:pPr>
    </w:p>
    <w:p w:rsidR="00736BE7" w:rsidRPr="0017319C" w:rsidRDefault="00736BE7" w:rsidP="00736BE7">
      <w:pPr>
        <w:rPr>
          <w:rFonts w:ascii="Arial" w:hAnsi="Arial" w:cs="Arial"/>
          <w:sz w:val="22"/>
        </w:rPr>
      </w:pPr>
    </w:p>
    <w:p w:rsidR="00736BE7" w:rsidRPr="0017319C" w:rsidRDefault="00736BE7" w:rsidP="00736BE7">
      <w:pPr>
        <w:rPr>
          <w:rFonts w:ascii="Arial" w:hAnsi="Arial" w:cs="Arial"/>
          <w:sz w:val="22"/>
        </w:rPr>
      </w:pPr>
    </w:p>
    <w:p w:rsidR="00736BE7" w:rsidRPr="0017319C" w:rsidRDefault="00736BE7" w:rsidP="00736BE7">
      <w:pPr>
        <w:ind w:firstLine="709"/>
        <w:jc w:val="center"/>
        <w:rPr>
          <w:rFonts w:ascii="Arial" w:hAnsi="Arial" w:cs="Arial"/>
          <w:b/>
          <w:sz w:val="22"/>
          <w:lang w:val="en-US"/>
        </w:rPr>
      </w:pPr>
    </w:p>
    <w:p w:rsidR="00A84850" w:rsidRPr="0017319C" w:rsidRDefault="007E4444" w:rsidP="00592898">
      <w:pPr>
        <w:jc w:val="center"/>
        <w:rPr>
          <w:rFonts w:ascii="Arial" w:hAnsi="Arial" w:cs="Arial"/>
          <w:b/>
          <w:sz w:val="22"/>
        </w:rPr>
      </w:pPr>
      <w:r w:rsidRPr="0017319C">
        <w:rPr>
          <w:rFonts w:ascii="Arial" w:hAnsi="Arial" w:cs="Arial"/>
          <w:b/>
          <w:sz w:val="22"/>
        </w:rPr>
        <w:t>PRESS RELEASE</w:t>
      </w:r>
      <w:r w:rsidR="00DD1F48" w:rsidRPr="0017319C">
        <w:rPr>
          <w:rFonts w:ascii="Arial" w:hAnsi="Arial" w:cs="Arial"/>
          <w:b/>
          <w:sz w:val="22"/>
        </w:rPr>
        <w:t xml:space="preserve"> </w:t>
      </w:r>
    </w:p>
    <w:p w:rsidR="007E4444" w:rsidRPr="0017319C" w:rsidRDefault="007E4444" w:rsidP="00592898">
      <w:pPr>
        <w:jc w:val="center"/>
        <w:rPr>
          <w:rFonts w:ascii="Arial" w:hAnsi="Arial" w:cs="Arial"/>
          <w:b/>
          <w:i/>
          <w:sz w:val="22"/>
        </w:rPr>
      </w:pPr>
      <w:r w:rsidRPr="0017319C">
        <w:rPr>
          <w:rFonts w:ascii="Arial" w:hAnsi="Arial" w:cs="Arial"/>
          <w:color w:val="000000"/>
          <w:sz w:val="22"/>
        </w:rPr>
        <w:br/>
      </w:r>
      <w:r w:rsidR="00592898" w:rsidRPr="0017319C">
        <w:rPr>
          <w:rFonts w:ascii="Arial" w:hAnsi="Arial" w:cs="Arial"/>
          <w:b/>
          <w:i/>
          <w:sz w:val="22"/>
        </w:rPr>
        <w:t>KYRGYZ GOVERNMENT ADOPTS</w:t>
      </w:r>
      <w:r w:rsidRPr="0017319C">
        <w:rPr>
          <w:rFonts w:ascii="Arial" w:hAnsi="Arial" w:cs="Arial"/>
          <w:b/>
          <w:i/>
          <w:sz w:val="22"/>
        </w:rPr>
        <w:t xml:space="preserve"> </w:t>
      </w:r>
      <w:r w:rsidR="00D75CD2" w:rsidRPr="0017319C">
        <w:rPr>
          <w:rFonts w:ascii="Arial" w:hAnsi="Arial" w:cs="Arial"/>
          <w:b/>
          <w:i/>
          <w:sz w:val="22"/>
        </w:rPr>
        <w:t xml:space="preserve">NEW </w:t>
      </w:r>
      <w:r w:rsidRPr="0017319C">
        <w:rPr>
          <w:rFonts w:ascii="Arial" w:hAnsi="Arial" w:cs="Arial"/>
          <w:b/>
          <w:i/>
          <w:sz w:val="22"/>
        </w:rPr>
        <w:t xml:space="preserve">NATIONAL STRATEGY ON </w:t>
      </w:r>
      <w:r w:rsidR="00592898" w:rsidRPr="0017319C">
        <w:rPr>
          <w:rFonts w:ascii="Arial" w:hAnsi="Arial" w:cs="Arial"/>
          <w:b/>
          <w:i/>
          <w:sz w:val="22"/>
        </w:rPr>
        <w:t>PENAL REFORM</w:t>
      </w:r>
    </w:p>
    <w:p w:rsidR="00592898" w:rsidRPr="0017319C" w:rsidRDefault="00592898" w:rsidP="00592898">
      <w:pPr>
        <w:jc w:val="center"/>
        <w:rPr>
          <w:rFonts w:ascii="Arial" w:hAnsi="Arial" w:cs="Arial"/>
          <w:sz w:val="22"/>
        </w:rPr>
      </w:pPr>
    </w:p>
    <w:p w:rsidR="006D04A8" w:rsidRPr="0017319C" w:rsidRDefault="007E4444" w:rsidP="007E4444">
      <w:pPr>
        <w:jc w:val="both"/>
        <w:rPr>
          <w:rFonts w:ascii="Arial" w:hAnsi="Arial" w:cs="Arial"/>
          <w:sz w:val="22"/>
        </w:rPr>
      </w:pPr>
      <w:proofErr w:type="gramStart"/>
      <w:r w:rsidRPr="0017319C">
        <w:rPr>
          <w:rFonts w:ascii="Arial" w:hAnsi="Arial" w:cs="Arial"/>
          <w:i/>
          <w:sz w:val="22"/>
        </w:rPr>
        <w:t>Bishkek.</w:t>
      </w:r>
      <w:proofErr w:type="gramEnd"/>
      <w:r w:rsidRPr="0017319C">
        <w:rPr>
          <w:rFonts w:ascii="Arial" w:hAnsi="Arial" w:cs="Arial"/>
          <w:i/>
          <w:sz w:val="22"/>
        </w:rPr>
        <w:t xml:space="preserve"> </w:t>
      </w:r>
      <w:r w:rsidR="007A1A5B" w:rsidRPr="0017319C">
        <w:rPr>
          <w:rFonts w:ascii="Arial" w:hAnsi="Arial" w:cs="Arial"/>
          <w:i/>
          <w:sz w:val="22"/>
        </w:rPr>
        <w:t>May 28</w:t>
      </w:r>
      <w:r w:rsidRPr="0017319C">
        <w:rPr>
          <w:rFonts w:ascii="Arial" w:hAnsi="Arial" w:cs="Arial"/>
          <w:sz w:val="22"/>
        </w:rPr>
        <w:t xml:space="preserve">. The </w:t>
      </w:r>
      <w:r w:rsidR="006534E6" w:rsidRPr="0017319C">
        <w:rPr>
          <w:rFonts w:ascii="Arial" w:hAnsi="Arial" w:cs="Arial"/>
          <w:sz w:val="22"/>
        </w:rPr>
        <w:t>Kyrgyz Government has recently adopted a new National Strategy on the Development of the Penitentiary System in the Kyrgyz Republic</w:t>
      </w:r>
      <w:r w:rsidR="00637518" w:rsidRPr="0017319C">
        <w:rPr>
          <w:rFonts w:ascii="Arial" w:hAnsi="Arial" w:cs="Arial"/>
          <w:sz w:val="22"/>
        </w:rPr>
        <w:t xml:space="preserve">. </w:t>
      </w:r>
      <w:r w:rsidR="0094391D" w:rsidRPr="0017319C">
        <w:rPr>
          <w:rFonts w:ascii="Arial" w:hAnsi="Arial" w:cs="Arial"/>
          <w:sz w:val="22"/>
        </w:rPr>
        <w:t>This strategy</w:t>
      </w:r>
      <w:r w:rsidR="00B70644" w:rsidRPr="0017319C">
        <w:rPr>
          <w:rFonts w:ascii="Arial" w:hAnsi="Arial" w:cs="Arial"/>
          <w:sz w:val="22"/>
        </w:rPr>
        <w:t>,</w:t>
      </w:r>
      <w:r w:rsidR="00AC3599" w:rsidRPr="0017319C">
        <w:rPr>
          <w:rFonts w:ascii="Arial" w:hAnsi="Arial" w:cs="Arial"/>
          <w:sz w:val="22"/>
        </w:rPr>
        <w:t xml:space="preserve"> </w:t>
      </w:r>
      <w:r w:rsidR="00B70644" w:rsidRPr="0017319C">
        <w:rPr>
          <w:rFonts w:ascii="Arial" w:hAnsi="Arial" w:cs="Arial"/>
          <w:sz w:val="22"/>
        </w:rPr>
        <w:t xml:space="preserve">covering the period from 2012 to 2016, </w:t>
      </w:r>
      <w:r w:rsidR="00AC3599" w:rsidRPr="0017319C">
        <w:rPr>
          <w:rFonts w:ascii="Arial" w:hAnsi="Arial" w:cs="Arial"/>
          <w:sz w:val="22"/>
        </w:rPr>
        <w:t xml:space="preserve">aims to </w:t>
      </w:r>
      <w:r w:rsidR="00EF64F8" w:rsidRPr="0017319C">
        <w:rPr>
          <w:rFonts w:ascii="Arial" w:hAnsi="Arial" w:cs="Arial"/>
          <w:sz w:val="22"/>
        </w:rPr>
        <w:t xml:space="preserve">improve prison conditions and </w:t>
      </w:r>
      <w:r w:rsidR="000B2DAD" w:rsidRPr="0017319C">
        <w:rPr>
          <w:rFonts w:ascii="Arial" w:hAnsi="Arial" w:cs="Arial"/>
          <w:sz w:val="22"/>
        </w:rPr>
        <w:t>promote social reintegration of detainees</w:t>
      </w:r>
      <w:r w:rsidR="00922053" w:rsidRPr="0017319C">
        <w:rPr>
          <w:rFonts w:ascii="Arial" w:hAnsi="Arial" w:cs="Arial"/>
          <w:sz w:val="22"/>
        </w:rPr>
        <w:t>. It</w:t>
      </w:r>
      <w:r w:rsidR="006D04A8" w:rsidRPr="0017319C">
        <w:rPr>
          <w:rFonts w:ascii="Arial" w:hAnsi="Arial" w:cs="Arial"/>
          <w:sz w:val="22"/>
        </w:rPr>
        <w:t xml:space="preserve"> replaces the programme ‘Umut’ (i.e. ‘Hope’), which </w:t>
      </w:r>
      <w:r w:rsidR="00F44DEC" w:rsidRPr="0017319C">
        <w:rPr>
          <w:rFonts w:ascii="Arial" w:hAnsi="Arial" w:cs="Arial"/>
          <w:sz w:val="22"/>
        </w:rPr>
        <w:t xml:space="preserve">has </w:t>
      </w:r>
      <w:r w:rsidR="006D04A8" w:rsidRPr="0017319C">
        <w:rPr>
          <w:rFonts w:ascii="Arial" w:hAnsi="Arial" w:cs="Arial"/>
          <w:sz w:val="22"/>
        </w:rPr>
        <w:t>guided the efforts of the Kyrgyz Government to reform its penitentiary system during the past 5 years.</w:t>
      </w:r>
    </w:p>
    <w:p w:rsidR="006D04A8" w:rsidRPr="0017319C" w:rsidRDefault="006D04A8" w:rsidP="007E4444">
      <w:pPr>
        <w:jc w:val="both"/>
        <w:rPr>
          <w:rFonts w:ascii="Arial" w:hAnsi="Arial" w:cs="Arial"/>
          <w:sz w:val="22"/>
        </w:rPr>
      </w:pPr>
    </w:p>
    <w:p w:rsidR="009C75B5" w:rsidRPr="0017319C" w:rsidRDefault="00DE040B" w:rsidP="0042464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17319C">
        <w:rPr>
          <w:rFonts w:ascii="Arial" w:hAnsi="Arial" w:cs="Arial"/>
          <w:sz w:val="22"/>
          <w:lang w:val="en-US"/>
        </w:rPr>
        <w:t xml:space="preserve">The strategy, adopted </w:t>
      </w:r>
      <w:r w:rsidR="00A84850" w:rsidRPr="0017319C">
        <w:rPr>
          <w:rFonts w:ascii="Arial" w:hAnsi="Arial" w:cs="Arial"/>
          <w:sz w:val="22"/>
          <w:lang w:val="en-US"/>
        </w:rPr>
        <w:t xml:space="preserve">officially </w:t>
      </w:r>
      <w:r w:rsidRPr="0017319C">
        <w:rPr>
          <w:rFonts w:ascii="Arial" w:hAnsi="Arial" w:cs="Arial"/>
          <w:sz w:val="22"/>
          <w:lang w:val="en-US"/>
        </w:rPr>
        <w:t xml:space="preserve">by </w:t>
      </w:r>
      <w:r w:rsidR="00A84850" w:rsidRPr="0017319C">
        <w:rPr>
          <w:rFonts w:ascii="Arial" w:hAnsi="Arial" w:cs="Arial"/>
          <w:sz w:val="22"/>
          <w:lang w:val="en-US"/>
        </w:rPr>
        <w:t>Kyrgyz Government</w:t>
      </w:r>
      <w:r w:rsidR="005A01C7" w:rsidRPr="0017319C">
        <w:rPr>
          <w:rFonts w:ascii="Arial" w:hAnsi="Arial" w:cs="Arial"/>
          <w:sz w:val="22"/>
          <w:lang w:val="en-US"/>
        </w:rPr>
        <w:t xml:space="preserve"> </w:t>
      </w:r>
      <w:r w:rsidR="003D5CC1">
        <w:rPr>
          <w:rFonts w:ascii="Arial" w:hAnsi="Arial" w:cs="Arial"/>
          <w:sz w:val="22"/>
          <w:lang w:val="en-US"/>
        </w:rPr>
        <w:t xml:space="preserve">Decree </w:t>
      </w:r>
      <w:r w:rsidR="005A01C7" w:rsidRPr="0017319C">
        <w:rPr>
          <w:rFonts w:ascii="Arial" w:hAnsi="Arial" w:cs="Arial"/>
          <w:sz w:val="22"/>
          <w:lang w:val="en-US"/>
        </w:rPr>
        <w:t>No.297</w:t>
      </w:r>
      <w:r w:rsidR="00A84850" w:rsidRPr="0017319C">
        <w:rPr>
          <w:rFonts w:ascii="Arial" w:hAnsi="Arial" w:cs="Arial"/>
          <w:sz w:val="22"/>
          <w:lang w:val="en-US"/>
        </w:rPr>
        <w:t xml:space="preserve"> on 15 May 2012,</w:t>
      </w:r>
      <w:r w:rsidRPr="0017319C">
        <w:rPr>
          <w:rFonts w:ascii="Arial" w:hAnsi="Arial" w:cs="Arial"/>
          <w:sz w:val="22"/>
        </w:rPr>
        <w:t xml:space="preserve"> </w:t>
      </w:r>
      <w:r w:rsidR="00417FA5" w:rsidRPr="0017319C">
        <w:rPr>
          <w:rFonts w:ascii="Arial" w:hAnsi="Arial" w:cs="Arial"/>
          <w:sz w:val="22"/>
        </w:rPr>
        <w:t>contains a detailed overview of the current state of the Kyrgyz penitentiary system</w:t>
      </w:r>
      <w:r w:rsidR="009C75B5" w:rsidRPr="0017319C">
        <w:rPr>
          <w:rFonts w:ascii="Arial" w:hAnsi="Arial" w:cs="Arial"/>
          <w:sz w:val="22"/>
        </w:rPr>
        <w:t>, including an assessment of its strengths and weaknesses. Based on this a</w:t>
      </w:r>
      <w:r w:rsidR="00135FB6" w:rsidRPr="0017319C">
        <w:rPr>
          <w:rFonts w:ascii="Arial" w:hAnsi="Arial" w:cs="Arial"/>
          <w:sz w:val="22"/>
        </w:rPr>
        <w:t>nalysis, the strategy identifies a series of key priorities</w:t>
      </w:r>
      <w:r w:rsidR="000F29FD" w:rsidRPr="0017319C">
        <w:rPr>
          <w:rFonts w:ascii="Arial" w:hAnsi="Arial" w:cs="Arial"/>
          <w:sz w:val="22"/>
        </w:rPr>
        <w:t xml:space="preserve">, ranging from the further </w:t>
      </w:r>
      <w:r w:rsidR="003B2036" w:rsidRPr="0017319C">
        <w:rPr>
          <w:rFonts w:ascii="Arial" w:hAnsi="Arial" w:cs="Arial"/>
          <w:sz w:val="22"/>
        </w:rPr>
        <w:t>improvement</w:t>
      </w:r>
      <w:r w:rsidR="000F29FD" w:rsidRPr="0017319C">
        <w:rPr>
          <w:rFonts w:ascii="Arial" w:hAnsi="Arial" w:cs="Arial"/>
          <w:sz w:val="22"/>
        </w:rPr>
        <w:t xml:space="preserve"> of penal legislation</w:t>
      </w:r>
      <w:r w:rsidR="00AD072C" w:rsidRPr="0017319C">
        <w:rPr>
          <w:rFonts w:ascii="Arial" w:hAnsi="Arial" w:cs="Arial"/>
          <w:sz w:val="22"/>
        </w:rPr>
        <w:t xml:space="preserve"> and</w:t>
      </w:r>
      <w:r w:rsidR="000F29FD" w:rsidRPr="0017319C">
        <w:rPr>
          <w:rFonts w:ascii="Arial" w:hAnsi="Arial" w:cs="Arial"/>
          <w:sz w:val="22"/>
        </w:rPr>
        <w:t xml:space="preserve"> </w:t>
      </w:r>
      <w:r w:rsidR="007F22D7" w:rsidRPr="0017319C">
        <w:rPr>
          <w:rFonts w:ascii="Arial" w:hAnsi="Arial" w:cs="Arial"/>
          <w:sz w:val="22"/>
        </w:rPr>
        <w:t xml:space="preserve">increased opportunities for </w:t>
      </w:r>
      <w:r w:rsidR="00A21C03" w:rsidRPr="0017319C">
        <w:rPr>
          <w:rFonts w:ascii="Arial" w:hAnsi="Arial" w:cs="Arial"/>
          <w:sz w:val="22"/>
        </w:rPr>
        <w:t xml:space="preserve">prison staff </w:t>
      </w:r>
      <w:r w:rsidR="007F22D7" w:rsidRPr="0017319C">
        <w:rPr>
          <w:rFonts w:ascii="Arial" w:hAnsi="Arial" w:cs="Arial"/>
          <w:sz w:val="22"/>
        </w:rPr>
        <w:t xml:space="preserve">training and </w:t>
      </w:r>
      <w:r w:rsidR="00A21C03" w:rsidRPr="0017319C">
        <w:rPr>
          <w:rFonts w:ascii="Arial" w:hAnsi="Arial" w:cs="Arial"/>
          <w:sz w:val="22"/>
        </w:rPr>
        <w:t>development</w:t>
      </w:r>
      <w:r w:rsidR="007F22D7" w:rsidRPr="0017319C">
        <w:rPr>
          <w:rFonts w:ascii="Arial" w:hAnsi="Arial" w:cs="Arial"/>
          <w:sz w:val="22"/>
        </w:rPr>
        <w:t xml:space="preserve">, </w:t>
      </w:r>
      <w:r w:rsidR="00AD072C" w:rsidRPr="0017319C">
        <w:rPr>
          <w:rFonts w:ascii="Arial" w:hAnsi="Arial" w:cs="Arial"/>
          <w:sz w:val="22"/>
        </w:rPr>
        <w:t xml:space="preserve">to </w:t>
      </w:r>
      <w:r w:rsidR="000F29FD" w:rsidRPr="0017319C">
        <w:rPr>
          <w:rFonts w:ascii="Arial" w:hAnsi="Arial" w:cs="Arial"/>
          <w:sz w:val="22"/>
        </w:rPr>
        <w:t xml:space="preserve">measures </w:t>
      </w:r>
      <w:r w:rsidR="00AD072C" w:rsidRPr="0017319C">
        <w:rPr>
          <w:rFonts w:ascii="Arial" w:hAnsi="Arial" w:cs="Arial"/>
          <w:sz w:val="22"/>
        </w:rPr>
        <w:t xml:space="preserve">aimed at </w:t>
      </w:r>
      <w:r w:rsidR="000F29FD" w:rsidRPr="0017319C">
        <w:rPr>
          <w:rFonts w:ascii="Arial" w:hAnsi="Arial" w:cs="Arial"/>
          <w:sz w:val="22"/>
        </w:rPr>
        <w:t>improv</w:t>
      </w:r>
      <w:r w:rsidR="00AD072C" w:rsidRPr="0017319C">
        <w:rPr>
          <w:rFonts w:ascii="Arial" w:hAnsi="Arial" w:cs="Arial"/>
          <w:sz w:val="22"/>
        </w:rPr>
        <w:t>ing</w:t>
      </w:r>
      <w:r w:rsidR="000F29FD" w:rsidRPr="0017319C">
        <w:rPr>
          <w:rFonts w:ascii="Arial" w:hAnsi="Arial" w:cs="Arial"/>
          <w:sz w:val="22"/>
        </w:rPr>
        <w:t xml:space="preserve"> prison conditions</w:t>
      </w:r>
      <w:r w:rsidR="00AD072C" w:rsidRPr="0017319C">
        <w:rPr>
          <w:rFonts w:ascii="Arial" w:hAnsi="Arial" w:cs="Arial"/>
          <w:sz w:val="22"/>
        </w:rPr>
        <w:t xml:space="preserve">, including better health care, </w:t>
      </w:r>
      <w:r w:rsidR="00A16867" w:rsidRPr="0017319C">
        <w:rPr>
          <w:rFonts w:ascii="Arial" w:hAnsi="Arial" w:cs="Arial"/>
          <w:sz w:val="22"/>
        </w:rPr>
        <w:t>and promoting</w:t>
      </w:r>
      <w:r w:rsidR="00F44DEC" w:rsidRPr="0017319C">
        <w:rPr>
          <w:rFonts w:ascii="Arial" w:hAnsi="Arial" w:cs="Arial"/>
          <w:sz w:val="22"/>
        </w:rPr>
        <w:t xml:space="preserve"> income generating activities, vocational training</w:t>
      </w:r>
      <w:r w:rsidR="00DE3EFF" w:rsidRPr="0017319C">
        <w:rPr>
          <w:rFonts w:ascii="Arial" w:hAnsi="Arial" w:cs="Arial"/>
          <w:sz w:val="22"/>
        </w:rPr>
        <w:t xml:space="preserve"> and social rehabilitation of prisoners. </w:t>
      </w:r>
      <w:r w:rsidR="00135FB6" w:rsidRPr="0017319C">
        <w:rPr>
          <w:rFonts w:ascii="Arial" w:hAnsi="Arial" w:cs="Arial"/>
          <w:sz w:val="22"/>
        </w:rPr>
        <w:t xml:space="preserve"> </w:t>
      </w:r>
      <w:r w:rsidR="009C75B5" w:rsidRPr="0017319C">
        <w:rPr>
          <w:rFonts w:ascii="Arial" w:hAnsi="Arial" w:cs="Arial"/>
          <w:sz w:val="22"/>
        </w:rPr>
        <w:t xml:space="preserve"> </w:t>
      </w:r>
    </w:p>
    <w:p w:rsidR="009C75B5" w:rsidRPr="0017319C" w:rsidRDefault="009C75B5" w:rsidP="0042464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782205" w:rsidRPr="0017319C" w:rsidRDefault="00782205" w:rsidP="00782205">
      <w:pPr>
        <w:jc w:val="both"/>
        <w:rPr>
          <w:rFonts w:ascii="Arial" w:hAnsi="Arial" w:cs="Arial"/>
          <w:sz w:val="22"/>
          <w:lang w:val="en-US"/>
        </w:rPr>
      </w:pPr>
      <w:r w:rsidRPr="0017319C">
        <w:rPr>
          <w:rFonts w:ascii="Arial" w:hAnsi="Arial" w:cs="Arial"/>
          <w:sz w:val="22"/>
          <w:lang w:val="en-US"/>
        </w:rPr>
        <w:t>“</w:t>
      </w:r>
      <w:r w:rsidRPr="0017319C">
        <w:rPr>
          <w:rFonts w:ascii="Arial" w:hAnsi="Arial" w:cs="Arial"/>
          <w:sz w:val="22"/>
        </w:rPr>
        <w:t xml:space="preserve">This important new strategic document is the result of </w:t>
      </w:r>
      <w:r w:rsidR="0075437C">
        <w:rPr>
          <w:rFonts w:ascii="Arial" w:hAnsi="Arial" w:cs="Arial"/>
          <w:sz w:val="22"/>
        </w:rPr>
        <w:t>an open and transparent</w:t>
      </w:r>
      <w:r w:rsidRPr="0017319C">
        <w:rPr>
          <w:rFonts w:ascii="Arial" w:hAnsi="Arial" w:cs="Arial"/>
          <w:sz w:val="22"/>
        </w:rPr>
        <w:t xml:space="preserve"> consultati</w:t>
      </w:r>
      <w:r w:rsidR="00673532">
        <w:rPr>
          <w:rFonts w:ascii="Arial" w:hAnsi="Arial" w:cs="Arial"/>
          <w:sz w:val="22"/>
        </w:rPr>
        <w:t>on</w:t>
      </w:r>
      <w:r w:rsidRPr="0017319C">
        <w:rPr>
          <w:rFonts w:ascii="Arial" w:hAnsi="Arial" w:cs="Arial"/>
          <w:sz w:val="22"/>
        </w:rPr>
        <w:t xml:space="preserve"> process</w:t>
      </w:r>
      <w:r w:rsidRPr="00782205">
        <w:rPr>
          <w:rFonts w:ascii="Arial" w:hAnsi="Arial" w:cs="Arial"/>
          <w:sz w:val="22"/>
        </w:rPr>
        <w:t xml:space="preserve"> </w:t>
      </w:r>
      <w:r w:rsidR="003B6B0B">
        <w:rPr>
          <w:rFonts w:ascii="Arial" w:hAnsi="Arial" w:cs="Arial"/>
          <w:sz w:val="22"/>
        </w:rPr>
        <w:t>involving</w:t>
      </w:r>
      <w:r w:rsidRPr="0017319C">
        <w:rPr>
          <w:rFonts w:ascii="Arial" w:hAnsi="Arial" w:cs="Arial"/>
          <w:sz w:val="22"/>
        </w:rPr>
        <w:t xml:space="preserve"> all relevant stakeholders, including civil society”, said Mr. </w:t>
      </w:r>
      <w:proofErr w:type="spellStart"/>
      <w:r w:rsidRPr="0017319C">
        <w:rPr>
          <w:rFonts w:ascii="Arial" w:hAnsi="Arial" w:cs="Arial"/>
          <w:sz w:val="22"/>
          <w:lang w:val="en-US"/>
        </w:rPr>
        <w:t>Kuanyshbek</w:t>
      </w:r>
      <w:proofErr w:type="spellEnd"/>
      <w:r w:rsidRPr="0017319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7319C">
        <w:rPr>
          <w:rFonts w:ascii="Arial" w:hAnsi="Arial" w:cs="Arial"/>
          <w:sz w:val="22"/>
          <w:lang w:val="en-US"/>
        </w:rPr>
        <w:t>Kenebaev</w:t>
      </w:r>
      <w:proofErr w:type="spellEnd"/>
      <w:r w:rsidRPr="0017319C">
        <w:rPr>
          <w:rFonts w:ascii="Arial" w:hAnsi="Arial" w:cs="Arial"/>
          <w:sz w:val="22"/>
          <w:lang w:val="en-US"/>
        </w:rPr>
        <w:t xml:space="preserve">, First Deputy Chairperson of the State Service for the Execution of Punishments. “With this strategy we </w:t>
      </w:r>
      <w:r w:rsidRPr="0017319C">
        <w:rPr>
          <w:rFonts w:ascii="Arial" w:hAnsi="Arial" w:cs="Arial"/>
          <w:sz w:val="22"/>
        </w:rPr>
        <w:t>confirm our resolve to develop our legislation in full conformity with international standards and to provide better living and working conditions in places of detention</w:t>
      </w:r>
      <w:r w:rsidRPr="0017319C">
        <w:rPr>
          <w:rFonts w:ascii="Arial" w:hAnsi="Arial" w:cs="Arial"/>
          <w:sz w:val="22"/>
          <w:lang w:val="en-US"/>
        </w:rPr>
        <w:t>”, he added.</w:t>
      </w:r>
    </w:p>
    <w:p w:rsidR="00782205" w:rsidRPr="0017319C" w:rsidRDefault="00782205" w:rsidP="007822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</w:p>
    <w:p w:rsidR="007E4444" w:rsidRDefault="006F4307" w:rsidP="00333F0D">
      <w:pPr>
        <w:jc w:val="both"/>
        <w:rPr>
          <w:rFonts w:ascii="Arial" w:hAnsi="Arial" w:cs="Arial"/>
          <w:sz w:val="22"/>
        </w:rPr>
      </w:pPr>
      <w:r w:rsidRPr="0017319C">
        <w:rPr>
          <w:rFonts w:ascii="Arial" w:hAnsi="Arial" w:cs="Arial"/>
          <w:sz w:val="22"/>
        </w:rPr>
        <w:t>T</w:t>
      </w:r>
      <w:r w:rsidR="00FA0FD0" w:rsidRPr="0017319C">
        <w:rPr>
          <w:rFonts w:ascii="Arial" w:hAnsi="Arial" w:cs="Arial"/>
          <w:sz w:val="22"/>
        </w:rPr>
        <w:t xml:space="preserve">he </w:t>
      </w:r>
      <w:r w:rsidR="0075437C">
        <w:rPr>
          <w:rFonts w:ascii="Arial" w:hAnsi="Arial" w:cs="Arial"/>
          <w:sz w:val="22"/>
        </w:rPr>
        <w:t>nearly two-year long consultations were</w:t>
      </w:r>
      <w:r w:rsidR="00FA0FD0" w:rsidRPr="0017319C">
        <w:rPr>
          <w:rFonts w:ascii="Arial" w:hAnsi="Arial" w:cs="Arial"/>
          <w:sz w:val="22"/>
        </w:rPr>
        <w:t xml:space="preserve"> </w:t>
      </w:r>
      <w:r w:rsidR="0075437C">
        <w:rPr>
          <w:rFonts w:ascii="Arial" w:hAnsi="Arial" w:cs="Arial"/>
          <w:sz w:val="22"/>
        </w:rPr>
        <w:t xml:space="preserve">facilitated </w:t>
      </w:r>
      <w:r w:rsidR="00FA0FD0" w:rsidRPr="0017319C">
        <w:rPr>
          <w:rFonts w:ascii="Arial" w:hAnsi="Arial" w:cs="Arial"/>
          <w:sz w:val="22"/>
        </w:rPr>
        <w:t xml:space="preserve">by the </w:t>
      </w:r>
      <w:r w:rsidR="0075437C">
        <w:rPr>
          <w:rFonts w:ascii="Arial" w:hAnsi="Arial" w:cs="Arial"/>
          <w:sz w:val="22"/>
        </w:rPr>
        <w:t>E</w:t>
      </w:r>
      <w:r w:rsidR="00B50D43">
        <w:rPr>
          <w:rFonts w:ascii="Arial" w:hAnsi="Arial" w:cs="Arial"/>
          <w:sz w:val="22"/>
        </w:rPr>
        <w:t>uropean Union</w:t>
      </w:r>
      <w:r w:rsidR="0075437C">
        <w:rPr>
          <w:rFonts w:ascii="Arial" w:hAnsi="Arial" w:cs="Arial"/>
          <w:sz w:val="22"/>
        </w:rPr>
        <w:t xml:space="preserve">/UNODC </w:t>
      </w:r>
      <w:r w:rsidR="00FA0FD0" w:rsidRPr="0017319C">
        <w:rPr>
          <w:rFonts w:ascii="Arial" w:hAnsi="Arial" w:cs="Arial"/>
          <w:sz w:val="22"/>
        </w:rPr>
        <w:t xml:space="preserve">project “Support to Prison Reform in the Kyrgyz Republic”. </w:t>
      </w:r>
      <w:r w:rsidR="007E4444" w:rsidRPr="0017319C">
        <w:rPr>
          <w:rFonts w:ascii="Arial" w:hAnsi="Arial" w:cs="Arial"/>
          <w:sz w:val="22"/>
        </w:rPr>
        <w:t>Th</w:t>
      </w:r>
      <w:r w:rsidR="00333F0D">
        <w:rPr>
          <w:rFonts w:ascii="Arial" w:hAnsi="Arial" w:cs="Arial"/>
          <w:sz w:val="22"/>
        </w:rPr>
        <w:t>is</w:t>
      </w:r>
      <w:r w:rsidR="007E4444" w:rsidRPr="0017319C">
        <w:rPr>
          <w:rFonts w:ascii="Arial" w:hAnsi="Arial" w:cs="Arial"/>
          <w:sz w:val="22"/>
        </w:rPr>
        <w:t xml:space="preserve"> project </w:t>
      </w:r>
      <w:r w:rsidR="00524D02" w:rsidRPr="0017319C">
        <w:rPr>
          <w:rFonts w:ascii="Arial" w:hAnsi="Arial" w:cs="Arial"/>
          <w:sz w:val="22"/>
        </w:rPr>
        <w:t xml:space="preserve">aims </w:t>
      </w:r>
      <w:r w:rsidR="00524D02" w:rsidRPr="0017319C">
        <w:rPr>
          <w:rFonts w:ascii="Arial" w:hAnsi="Arial" w:cs="Arial"/>
          <w:bCs/>
          <w:sz w:val="22"/>
        </w:rPr>
        <w:t>to assist the Kyrgyz Government to reform its penitentiary system at legislative, policy and management levels, so as to improve the treatment of prisoners and contribute to their social reintegration.</w:t>
      </w:r>
      <w:r w:rsidR="00D61761" w:rsidRPr="0017319C">
        <w:rPr>
          <w:rFonts w:ascii="Arial" w:hAnsi="Arial" w:cs="Arial"/>
          <w:bCs/>
          <w:sz w:val="22"/>
        </w:rPr>
        <w:t xml:space="preserve"> The project </w:t>
      </w:r>
      <w:r w:rsidR="007E4444" w:rsidRPr="0017319C">
        <w:rPr>
          <w:rFonts w:ascii="Arial" w:hAnsi="Arial" w:cs="Arial"/>
          <w:sz w:val="22"/>
        </w:rPr>
        <w:t>is funded by the European Union and implemented by the U</w:t>
      </w:r>
      <w:r w:rsidR="00DD1F48" w:rsidRPr="0017319C">
        <w:rPr>
          <w:rFonts w:ascii="Arial" w:hAnsi="Arial" w:cs="Arial"/>
          <w:sz w:val="22"/>
        </w:rPr>
        <w:t xml:space="preserve">nited Nations Office on Drugs </w:t>
      </w:r>
      <w:r w:rsidR="00343CB9" w:rsidRPr="0017319C">
        <w:rPr>
          <w:rFonts w:ascii="Arial" w:hAnsi="Arial" w:cs="Arial"/>
          <w:sz w:val="22"/>
        </w:rPr>
        <w:t>and Crime</w:t>
      </w:r>
      <w:r w:rsidR="007E4444" w:rsidRPr="0017319C">
        <w:rPr>
          <w:rFonts w:ascii="Arial" w:hAnsi="Arial" w:cs="Arial"/>
          <w:sz w:val="22"/>
        </w:rPr>
        <w:t xml:space="preserve"> in Kyrgyzstan.</w:t>
      </w:r>
    </w:p>
    <w:p w:rsidR="00333F0D" w:rsidRDefault="00333F0D" w:rsidP="00333F0D">
      <w:pPr>
        <w:jc w:val="both"/>
        <w:rPr>
          <w:rFonts w:ascii="Arial" w:hAnsi="Arial" w:cs="Arial"/>
          <w:sz w:val="22"/>
        </w:rPr>
      </w:pPr>
    </w:p>
    <w:p w:rsidR="00333F0D" w:rsidRPr="0017319C" w:rsidRDefault="00333F0D" w:rsidP="00333F0D">
      <w:pPr>
        <w:jc w:val="both"/>
        <w:rPr>
          <w:rFonts w:ascii="Arial" w:hAnsi="Arial" w:cs="Arial"/>
          <w:sz w:val="22"/>
        </w:rPr>
      </w:pPr>
      <w:r w:rsidRPr="0017319C">
        <w:rPr>
          <w:rFonts w:ascii="Arial" w:hAnsi="Arial" w:cs="Arial"/>
          <w:sz w:val="22"/>
          <w:u w:val="single"/>
        </w:rPr>
        <w:t>The strategy will be presented and discussed during a press conference, which will take place on 29 May 2012 at 14:00pm at press club “Kabar”.</w:t>
      </w:r>
    </w:p>
    <w:p w:rsidR="00333F0D" w:rsidRPr="0017319C" w:rsidRDefault="00333F0D" w:rsidP="00333F0D">
      <w:pPr>
        <w:jc w:val="both"/>
        <w:rPr>
          <w:rFonts w:ascii="Arial" w:hAnsi="Arial" w:cs="Arial"/>
          <w:i/>
          <w:sz w:val="22"/>
        </w:rPr>
      </w:pPr>
    </w:p>
    <w:p w:rsidR="007E4444" w:rsidRPr="0017319C" w:rsidRDefault="007E4444" w:rsidP="007E4444">
      <w:pPr>
        <w:jc w:val="center"/>
        <w:rPr>
          <w:rFonts w:ascii="Arial" w:hAnsi="Arial" w:cs="Arial"/>
          <w:i/>
          <w:sz w:val="22"/>
        </w:rPr>
      </w:pPr>
    </w:p>
    <w:p w:rsidR="00D75CD2" w:rsidRPr="0017319C" w:rsidRDefault="007E4444" w:rsidP="007E4444">
      <w:pPr>
        <w:jc w:val="center"/>
        <w:rPr>
          <w:rFonts w:ascii="Arial" w:hAnsi="Arial" w:cs="Arial"/>
          <w:i/>
          <w:szCs w:val="20"/>
        </w:rPr>
      </w:pPr>
      <w:r w:rsidRPr="0017319C">
        <w:rPr>
          <w:rFonts w:ascii="Arial" w:hAnsi="Arial" w:cs="Arial"/>
          <w:i/>
          <w:szCs w:val="20"/>
        </w:rPr>
        <w:t>For additional information, please contact</w:t>
      </w:r>
      <w:proofErr w:type="gramStart"/>
      <w:r w:rsidRPr="0017319C">
        <w:rPr>
          <w:rFonts w:ascii="Arial" w:hAnsi="Arial" w:cs="Arial"/>
          <w:i/>
          <w:szCs w:val="20"/>
        </w:rPr>
        <w:t>:</w:t>
      </w:r>
      <w:proofErr w:type="gramEnd"/>
      <w:r w:rsidRPr="0017319C">
        <w:rPr>
          <w:rFonts w:ascii="Arial" w:hAnsi="Arial" w:cs="Arial"/>
          <w:i/>
          <w:szCs w:val="20"/>
        </w:rPr>
        <w:br/>
        <w:t>Vera Tkachenko</w:t>
      </w:r>
      <w:r w:rsidR="0017319C" w:rsidRPr="0017319C">
        <w:rPr>
          <w:rFonts w:ascii="Arial" w:hAnsi="Arial" w:cs="Arial"/>
          <w:i/>
          <w:szCs w:val="20"/>
          <w:lang w:val="en-US"/>
        </w:rPr>
        <w:t xml:space="preserve">, </w:t>
      </w:r>
      <w:r w:rsidRPr="0017319C">
        <w:rPr>
          <w:rFonts w:ascii="Arial" w:hAnsi="Arial" w:cs="Arial"/>
          <w:i/>
          <w:szCs w:val="20"/>
        </w:rPr>
        <w:t xml:space="preserve">International </w:t>
      </w:r>
      <w:r w:rsidR="00D75CD2" w:rsidRPr="0017319C">
        <w:rPr>
          <w:rFonts w:ascii="Arial" w:hAnsi="Arial" w:cs="Arial"/>
          <w:i/>
          <w:szCs w:val="20"/>
        </w:rPr>
        <w:t xml:space="preserve">Project </w:t>
      </w:r>
      <w:r w:rsidRPr="0017319C">
        <w:rPr>
          <w:rFonts w:ascii="Arial" w:hAnsi="Arial" w:cs="Arial"/>
          <w:i/>
          <w:szCs w:val="20"/>
        </w:rPr>
        <w:t xml:space="preserve">Manager </w:t>
      </w:r>
    </w:p>
    <w:p w:rsidR="007E4444" w:rsidRPr="0017319C" w:rsidRDefault="007E4444" w:rsidP="007E4444">
      <w:pPr>
        <w:jc w:val="center"/>
        <w:rPr>
          <w:rFonts w:ascii="Arial" w:hAnsi="Arial" w:cs="Arial"/>
          <w:i/>
          <w:szCs w:val="20"/>
        </w:rPr>
      </w:pPr>
      <w:r w:rsidRPr="0017319C">
        <w:rPr>
          <w:rFonts w:ascii="Arial" w:hAnsi="Arial" w:cs="Arial"/>
          <w:i/>
          <w:szCs w:val="20"/>
        </w:rPr>
        <w:t>European Union/UNODC project “Support to Prison Reform in the Kyrgyz Republic</w:t>
      </w:r>
      <w:r w:rsidRPr="0017319C">
        <w:rPr>
          <w:rFonts w:ascii="Arial" w:hAnsi="Arial" w:cs="Arial"/>
          <w:i/>
          <w:szCs w:val="20"/>
        </w:rPr>
        <w:br/>
        <w:t>tel. 32 17 32 m.0555 5787912</w:t>
      </w:r>
      <w:r w:rsidRPr="0017319C">
        <w:rPr>
          <w:rFonts w:ascii="Arial" w:hAnsi="Arial" w:cs="Arial"/>
          <w:i/>
          <w:szCs w:val="20"/>
        </w:rPr>
        <w:br/>
        <w:t xml:space="preserve">E-mail </w:t>
      </w:r>
      <w:r w:rsidRPr="0017319C">
        <w:rPr>
          <w:rStyle w:val="ab"/>
          <w:rFonts w:ascii="Arial" w:hAnsi="Arial" w:cs="Arial"/>
          <w:szCs w:val="20"/>
        </w:rPr>
        <w:t>vera.tkachenko@unodc.org</w:t>
      </w:r>
    </w:p>
    <w:p w:rsidR="00736BE7" w:rsidRPr="0017319C" w:rsidRDefault="00736BE7" w:rsidP="001A2A39">
      <w:pPr>
        <w:spacing w:line="360" w:lineRule="auto"/>
        <w:ind w:firstLine="709"/>
        <w:jc w:val="center"/>
        <w:rPr>
          <w:rFonts w:ascii="Arial" w:hAnsi="Arial" w:cs="Arial"/>
          <w:sz w:val="22"/>
        </w:rPr>
      </w:pPr>
    </w:p>
    <w:sectPr w:rsidR="00736BE7" w:rsidRPr="0017319C" w:rsidSect="001A2A39">
      <w:footerReference w:type="default" r:id="rId10"/>
      <w:pgSz w:w="11907" w:h="16840" w:code="9"/>
      <w:pgMar w:top="2268" w:right="1134" w:bottom="2268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0D" w:rsidRDefault="00333F0D" w:rsidP="00736BE7">
      <w:r>
        <w:separator/>
      </w:r>
    </w:p>
  </w:endnote>
  <w:endnote w:type="continuationSeparator" w:id="0">
    <w:p w:rsidR="00333F0D" w:rsidRDefault="00333F0D" w:rsidP="00736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0D" w:rsidRDefault="00384247">
    <w:pPr>
      <w:pStyle w:val="a6"/>
      <w:jc w:val="right"/>
    </w:pPr>
    <w:fldSimple w:instr=" PAGE   \* MERGEFORMAT ">
      <w:r w:rsidR="00B50D43">
        <w:rPr>
          <w:noProof/>
        </w:rPr>
        <w:t>1</w:t>
      </w:r>
    </w:fldSimple>
  </w:p>
  <w:p w:rsidR="00333F0D" w:rsidRDefault="00333F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0D" w:rsidRDefault="00333F0D" w:rsidP="00736BE7">
      <w:r>
        <w:separator/>
      </w:r>
    </w:p>
  </w:footnote>
  <w:footnote w:type="continuationSeparator" w:id="0">
    <w:p w:rsidR="00333F0D" w:rsidRDefault="00333F0D" w:rsidP="00736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E2D54C"/>
    <w:lvl w:ilvl="0">
      <w:numFmt w:val="bullet"/>
      <w:lvlText w:val="*"/>
      <w:lvlJc w:val="left"/>
    </w:lvl>
  </w:abstractNum>
  <w:abstractNum w:abstractNumId="1">
    <w:nsid w:val="01682C04"/>
    <w:multiLevelType w:val="singleLevel"/>
    <w:tmpl w:val="B8F047F4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>
    <w:nsid w:val="3011264D"/>
    <w:multiLevelType w:val="hybridMultilevel"/>
    <w:tmpl w:val="2FB24964"/>
    <w:lvl w:ilvl="0" w:tplc="04190005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67C4F"/>
    <w:multiLevelType w:val="singleLevel"/>
    <w:tmpl w:val="523880C8"/>
    <w:lvl w:ilvl="0">
      <w:start w:val="1"/>
      <w:numFmt w:val="lowerLetter"/>
      <w:lvlText w:val="(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4">
    <w:nsid w:val="75DA0B63"/>
    <w:multiLevelType w:val="hybridMultilevel"/>
    <w:tmpl w:val="19C4BBAE"/>
    <w:lvl w:ilvl="0" w:tplc="83C82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70C21"/>
    <w:multiLevelType w:val="hybridMultilevel"/>
    <w:tmpl w:val="EFFE78A2"/>
    <w:lvl w:ilvl="0" w:tplc="7B1EAE1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BE7"/>
    <w:rsid w:val="000416A8"/>
    <w:rsid w:val="000B0FAA"/>
    <w:rsid w:val="000B2DAD"/>
    <w:rsid w:val="000B59DC"/>
    <w:rsid w:val="000D68C0"/>
    <w:rsid w:val="000E7C98"/>
    <w:rsid w:val="000F29FD"/>
    <w:rsid w:val="00107721"/>
    <w:rsid w:val="00135FB6"/>
    <w:rsid w:val="00150712"/>
    <w:rsid w:val="00162F67"/>
    <w:rsid w:val="00164087"/>
    <w:rsid w:val="001717EF"/>
    <w:rsid w:val="00171957"/>
    <w:rsid w:val="0017319C"/>
    <w:rsid w:val="001749EB"/>
    <w:rsid w:val="0018100D"/>
    <w:rsid w:val="001A0971"/>
    <w:rsid w:val="001A2A39"/>
    <w:rsid w:val="001E10FE"/>
    <w:rsid w:val="001E2062"/>
    <w:rsid w:val="001E3A8C"/>
    <w:rsid w:val="001E7162"/>
    <w:rsid w:val="001E7272"/>
    <w:rsid w:val="001F7077"/>
    <w:rsid w:val="00226FC6"/>
    <w:rsid w:val="0023499E"/>
    <w:rsid w:val="00314855"/>
    <w:rsid w:val="00325277"/>
    <w:rsid w:val="00333F0D"/>
    <w:rsid w:val="00343CB9"/>
    <w:rsid w:val="00347AA0"/>
    <w:rsid w:val="00383B46"/>
    <w:rsid w:val="00384247"/>
    <w:rsid w:val="003B2036"/>
    <w:rsid w:val="003B6B0B"/>
    <w:rsid w:val="003D5CC1"/>
    <w:rsid w:val="003E506F"/>
    <w:rsid w:val="00417FA5"/>
    <w:rsid w:val="00424640"/>
    <w:rsid w:val="00452557"/>
    <w:rsid w:val="00454843"/>
    <w:rsid w:val="00461717"/>
    <w:rsid w:val="004C2A4B"/>
    <w:rsid w:val="004D1E03"/>
    <w:rsid w:val="004D5D4F"/>
    <w:rsid w:val="004F279E"/>
    <w:rsid w:val="004F52CC"/>
    <w:rsid w:val="00524D02"/>
    <w:rsid w:val="0052603D"/>
    <w:rsid w:val="00534A40"/>
    <w:rsid w:val="005600C7"/>
    <w:rsid w:val="005673E5"/>
    <w:rsid w:val="00592898"/>
    <w:rsid w:val="005A01C7"/>
    <w:rsid w:val="005A7B79"/>
    <w:rsid w:val="005F5713"/>
    <w:rsid w:val="005F78E4"/>
    <w:rsid w:val="00637518"/>
    <w:rsid w:val="006534E6"/>
    <w:rsid w:val="00673532"/>
    <w:rsid w:val="00680D4B"/>
    <w:rsid w:val="006D04A8"/>
    <w:rsid w:val="006F3914"/>
    <w:rsid w:val="006F4307"/>
    <w:rsid w:val="00736BE7"/>
    <w:rsid w:val="00740F35"/>
    <w:rsid w:val="00744765"/>
    <w:rsid w:val="0075437C"/>
    <w:rsid w:val="00782205"/>
    <w:rsid w:val="007A1A5B"/>
    <w:rsid w:val="007A7914"/>
    <w:rsid w:val="007C5EC3"/>
    <w:rsid w:val="007E4444"/>
    <w:rsid w:val="007F22D7"/>
    <w:rsid w:val="00802488"/>
    <w:rsid w:val="00802530"/>
    <w:rsid w:val="00804C5D"/>
    <w:rsid w:val="008139CA"/>
    <w:rsid w:val="008274EF"/>
    <w:rsid w:val="00877C4E"/>
    <w:rsid w:val="008A611E"/>
    <w:rsid w:val="008B2CF3"/>
    <w:rsid w:val="008C1114"/>
    <w:rsid w:val="008C72AB"/>
    <w:rsid w:val="008F7F50"/>
    <w:rsid w:val="00922053"/>
    <w:rsid w:val="009246FD"/>
    <w:rsid w:val="0094391D"/>
    <w:rsid w:val="00980F27"/>
    <w:rsid w:val="00985903"/>
    <w:rsid w:val="009C053C"/>
    <w:rsid w:val="009C489B"/>
    <w:rsid w:val="009C75B5"/>
    <w:rsid w:val="009E529A"/>
    <w:rsid w:val="009E54C0"/>
    <w:rsid w:val="009F2056"/>
    <w:rsid w:val="00A16867"/>
    <w:rsid w:val="00A21C03"/>
    <w:rsid w:val="00A23F67"/>
    <w:rsid w:val="00A270A4"/>
    <w:rsid w:val="00A321C8"/>
    <w:rsid w:val="00A35C72"/>
    <w:rsid w:val="00A84850"/>
    <w:rsid w:val="00AB5083"/>
    <w:rsid w:val="00AC3599"/>
    <w:rsid w:val="00AD072C"/>
    <w:rsid w:val="00AE04F2"/>
    <w:rsid w:val="00AE2C5C"/>
    <w:rsid w:val="00B07BEA"/>
    <w:rsid w:val="00B27FF0"/>
    <w:rsid w:val="00B4592A"/>
    <w:rsid w:val="00B50D43"/>
    <w:rsid w:val="00B5707A"/>
    <w:rsid w:val="00B70644"/>
    <w:rsid w:val="00BA1F76"/>
    <w:rsid w:val="00BA686C"/>
    <w:rsid w:val="00BB185D"/>
    <w:rsid w:val="00C143B9"/>
    <w:rsid w:val="00C66157"/>
    <w:rsid w:val="00C751A1"/>
    <w:rsid w:val="00C80B73"/>
    <w:rsid w:val="00C93CD9"/>
    <w:rsid w:val="00CD58FD"/>
    <w:rsid w:val="00CE5A1B"/>
    <w:rsid w:val="00D16F32"/>
    <w:rsid w:val="00D26A69"/>
    <w:rsid w:val="00D61761"/>
    <w:rsid w:val="00D67E5E"/>
    <w:rsid w:val="00D75CD2"/>
    <w:rsid w:val="00DB29AF"/>
    <w:rsid w:val="00DD1F48"/>
    <w:rsid w:val="00DE040B"/>
    <w:rsid w:val="00DE1661"/>
    <w:rsid w:val="00DE3EFF"/>
    <w:rsid w:val="00DF3295"/>
    <w:rsid w:val="00E77800"/>
    <w:rsid w:val="00EB171D"/>
    <w:rsid w:val="00EF64F8"/>
    <w:rsid w:val="00F02073"/>
    <w:rsid w:val="00F04524"/>
    <w:rsid w:val="00F44DEC"/>
    <w:rsid w:val="00F813A8"/>
    <w:rsid w:val="00F84322"/>
    <w:rsid w:val="00F86A4E"/>
    <w:rsid w:val="00FA0FD0"/>
    <w:rsid w:val="00FD33D9"/>
    <w:rsid w:val="00FF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E7"/>
    <w:pPr>
      <w:spacing w:after="0" w:line="240" w:lineRule="auto"/>
    </w:pPr>
    <w:rPr>
      <w:rFonts w:ascii="Times New Roman" w:eastAsia="Calibri" w:hAnsi="Times New Roman" w:cs="Calibri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736BE7"/>
    <w:pPr>
      <w:autoSpaceDE w:val="0"/>
      <w:autoSpaceDN w:val="0"/>
      <w:adjustRightInd w:val="0"/>
      <w:spacing w:line="240" w:lineRule="atLeast"/>
      <w:textAlignment w:val="center"/>
    </w:pPr>
    <w:rPr>
      <w:rFonts w:ascii="Myriad Pro" w:hAnsi="Myriad Pro" w:cs="Myriad Pro"/>
      <w:b/>
      <w:bCs/>
      <w:color w:val="000000"/>
      <w:sz w:val="24"/>
      <w:szCs w:val="24"/>
    </w:rPr>
  </w:style>
  <w:style w:type="paragraph" w:customStyle="1" w:styleId="NoParagraphStyle">
    <w:name w:val="[No Paragraph Style]"/>
    <w:rsid w:val="00736BE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3">
    <w:name w:val="footnote text"/>
    <w:basedOn w:val="a"/>
    <w:link w:val="a4"/>
    <w:semiHidden/>
    <w:rsid w:val="00736BE7"/>
    <w:rPr>
      <w:szCs w:val="20"/>
    </w:rPr>
  </w:style>
  <w:style w:type="character" w:customStyle="1" w:styleId="a4">
    <w:name w:val="Текст сноски Знак"/>
    <w:basedOn w:val="a0"/>
    <w:link w:val="a3"/>
    <w:semiHidden/>
    <w:rsid w:val="00736BE7"/>
    <w:rPr>
      <w:rFonts w:ascii="Times New Roman" w:eastAsia="Calibri" w:hAnsi="Times New Roman" w:cs="Calibri"/>
      <w:sz w:val="20"/>
      <w:szCs w:val="20"/>
      <w:lang w:val="en-GB"/>
    </w:rPr>
  </w:style>
  <w:style w:type="character" w:styleId="a5">
    <w:name w:val="footnote reference"/>
    <w:basedOn w:val="a0"/>
    <w:semiHidden/>
    <w:rsid w:val="00736BE7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736B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BE7"/>
    <w:rPr>
      <w:rFonts w:ascii="Times New Roman" w:eastAsia="Calibri" w:hAnsi="Times New Roman" w:cs="Calibri"/>
      <w:sz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736B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BE7"/>
    <w:rPr>
      <w:rFonts w:ascii="Tahoma" w:eastAsia="Calibri" w:hAnsi="Tahoma" w:cs="Tahoma"/>
      <w:sz w:val="16"/>
      <w:szCs w:val="16"/>
      <w:lang w:val="en-GB"/>
    </w:rPr>
  </w:style>
  <w:style w:type="table" w:styleId="aa">
    <w:name w:val="Table Grid"/>
    <w:basedOn w:val="a1"/>
    <w:uiPriority w:val="59"/>
    <w:rsid w:val="00736BE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A2A39"/>
    <w:rPr>
      <w:color w:val="0000FF"/>
      <w:u w:val="single"/>
    </w:rPr>
  </w:style>
  <w:style w:type="paragraph" w:customStyle="1" w:styleId="Kleurrijkelijst-accent1">
    <w:name w:val="Kleurrijke lijst - accent 1"/>
    <w:basedOn w:val="a"/>
    <w:uiPriority w:val="34"/>
    <w:qFormat/>
    <w:rsid w:val="007A7914"/>
    <w:pPr>
      <w:ind w:left="720"/>
      <w:contextualSpacing/>
    </w:pPr>
    <w:rPr>
      <w:rFonts w:eastAsia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International</cp:lastModifiedBy>
  <cp:revision>2</cp:revision>
  <dcterms:created xsi:type="dcterms:W3CDTF">2012-05-28T12:56:00Z</dcterms:created>
  <dcterms:modified xsi:type="dcterms:W3CDTF">2012-05-28T12:56:00Z</dcterms:modified>
</cp:coreProperties>
</file>