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5D" w:rsidRPr="00B24659" w:rsidRDefault="00664736" w:rsidP="00664736">
      <w:pPr>
        <w:jc w:val="center"/>
        <w:rPr>
          <w:rFonts w:ascii="Century Gothic" w:hAnsi="Century Gothic" w:cs="Calibri"/>
          <w:b/>
          <w:sz w:val="16"/>
          <w:szCs w:val="16"/>
          <w:u w:val="single"/>
          <w:lang w:val="es-ES_tradnl"/>
        </w:rPr>
      </w:pPr>
      <w:r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SOLICITUD DE COTIZACIÓN </w:t>
      </w:r>
      <w:r w:rsidR="00EB486B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(</w:t>
      </w:r>
      <w:r w:rsidR="00312B1C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SDC</w:t>
      </w:r>
      <w:r w:rsidR="00EB486B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)</w:t>
      </w:r>
      <w:r w:rsidR="00FF0ECD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 No. </w:t>
      </w:r>
      <w:r w:rsidR="00707D2E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790</w:t>
      </w:r>
      <w:r w:rsidR="002F4796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 </w:t>
      </w:r>
      <w:r w:rsidR="00312B1C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de</w:t>
      </w:r>
      <w:r w:rsidR="002F4796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 201</w:t>
      </w:r>
      <w:r w:rsidR="00B840F8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4</w:t>
      </w:r>
      <w:r w:rsidR="002F4796"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</w:t>
      </w:r>
    </w:p>
    <w:p w:rsidR="00EB486B" w:rsidRPr="00B24659" w:rsidRDefault="00EB486B" w:rsidP="00EB486B">
      <w:pPr>
        <w:jc w:val="center"/>
        <w:rPr>
          <w:rFonts w:ascii="Century Gothic" w:hAnsi="Century Gothic" w:cs="Calibri"/>
          <w:sz w:val="16"/>
          <w:szCs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60"/>
      </w:tblGrid>
      <w:tr w:rsidR="002B425D" w:rsidRPr="00B24659" w:rsidTr="002209FD">
        <w:trPr>
          <w:cantSplit/>
          <w:trHeight w:val="455"/>
        </w:trPr>
        <w:tc>
          <w:tcPr>
            <w:tcW w:w="5400" w:type="dxa"/>
            <w:vMerge w:val="restart"/>
            <w:vAlign w:val="center"/>
          </w:tcPr>
          <w:p w:rsidR="00AF5F6D" w:rsidRPr="00B24659" w:rsidRDefault="008C0930" w:rsidP="00397BE6">
            <w:pPr>
              <w:jc w:val="center"/>
              <w:rPr>
                <w:rFonts w:ascii="Century Gothic" w:hAnsi="Century Gothic" w:cs="Calibri"/>
                <w:color w:val="FF0000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b/>
                <w:sz w:val="16"/>
                <w:szCs w:val="16"/>
                <w:lang w:val="es-ES_tradnl"/>
              </w:rPr>
              <w:t>SEÑORES INTERESADOS EN PARTICIPAR EN EL PROCESO</w:t>
            </w:r>
          </w:p>
        </w:tc>
        <w:tc>
          <w:tcPr>
            <w:tcW w:w="3960" w:type="dxa"/>
          </w:tcPr>
          <w:p w:rsidR="002B425D" w:rsidRPr="00B24659" w:rsidRDefault="00AF5F6D" w:rsidP="00707D2E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b/>
                <w:sz w:val="16"/>
                <w:szCs w:val="16"/>
                <w:lang w:val="es-ES_tradnl"/>
              </w:rPr>
              <w:t>FECHA</w:t>
            </w:r>
            <w:r w:rsidR="002B425D" w:rsidRPr="00B24659">
              <w:rPr>
                <w:rFonts w:ascii="Century Gothic" w:hAnsi="Century Gothic" w:cs="Calibri"/>
                <w:b/>
                <w:sz w:val="16"/>
                <w:szCs w:val="16"/>
                <w:lang w:val="es-ES_tradnl"/>
              </w:rPr>
              <w:t>:</w:t>
            </w:r>
            <w:r w:rsidR="00517A4B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ES_tradnl"/>
              </w:rPr>
              <w:t>28</w:t>
            </w:r>
            <w:r w:rsidR="00A055BE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="00234E22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de 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ES_tradnl"/>
              </w:rPr>
              <w:t>Julio</w:t>
            </w:r>
            <w:r w:rsidR="00234E22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de </w:t>
            </w:r>
            <w:r w:rsidR="00397BE6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201</w:t>
            </w:r>
            <w:r w:rsidR="00B840F8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4</w:t>
            </w:r>
          </w:p>
        </w:tc>
      </w:tr>
      <w:tr w:rsidR="002B425D" w:rsidRPr="007C1679" w:rsidTr="00BA0E6E">
        <w:trPr>
          <w:cantSplit/>
          <w:trHeight w:val="460"/>
        </w:trPr>
        <w:tc>
          <w:tcPr>
            <w:tcW w:w="5400" w:type="dxa"/>
            <w:vMerge/>
          </w:tcPr>
          <w:p w:rsidR="002B425D" w:rsidRPr="00B24659" w:rsidRDefault="002B425D">
            <w:pPr>
              <w:rPr>
                <w:rFonts w:ascii="Century Gothic" w:hAnsi="Century Gothic" w:cs="Calibri"/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4" w:rsidRPr="00B24659" w:rsidRDefault="00397BE6" w:rsidP="000B115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b/>
                <w:sz w:val="16"/>
                <w:szCs w:val="16"/>
                <w:lang w:val="es-ES_tradnl"/>
              </w:rPr>
              <w:t>OBJETO</w:t>
            </w:r>
            <w:r w:rsidR="002B425D" w:rsidRPr="00B24659">
              <w:rPr>
                <w:rFonts w:ascii="Century Gothic" w:hAnsi="Century Gothic" w:cs="Calibri"/>
                <w:b/>
                <w:sz w:val="16"/>
                <w:szCs w:val="16"/>
                <w:lang w:val="es-ES_tradnl"/>
              </w:rPr>
              <w:t>:</w:t>
            </w:r>
            <w:r w:rsidR="002209FD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="00312B1C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Adquirir 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ES_tradnl"/>
              </w:rPr>
              <w:t>fertilizantes, como mecanismo de fortalecimiento de la producción y comercialización de tomate</w:t>
            </w:r>
            <w:r w:rsidR="00312B1C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.</w:t>
            </w:r>
          </w:p>
          <w:p w:rsidR="002B425D" w:rsidRPr="00B24659" w:rsidRDefault="002B425D" w:rsidP="00CD1BC2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2B425D" w:rsidRPr="00B24659" w:rsidRDefault="002B425D">
      <w:pPr>
        <w:rPr>
          <w:rFonts w:ascii="Century Gothic" w:hAnsi="Century Gothic" w:cs="Calibri"/>
          <w:color w:val="FF0000"/>
          <w:sz w:val="16"/>
          <w:szCs w:val="16"/>
          <w:lang w:val="es-ES_tradnl"/>
        </w:rPr>
      </w:pPr>
    </w:p>
    <w:p w:rsidR="00AF5F6D" w:rsidRPr="00B24659" w:rsidRDefault="00AF5F6D" w:rsidP="00AF5F6D">
      <w:pPr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>Estimado</w:t>
      </w:r>
      <w:r w:rsidR="00674079" w:rsidRPr="00B24659">
        <w:rPr>
          <w:rFonts w:ascii="Century Gothic" w:hAnsi="Century Gothic" w:cs="Calibri"/>
          <w:sz w:val="16"/>
          <w:szCs w:val="16"/>
          <w:lang w:val="es-ES_tradnl"/>
        </w:rPr>
        <w:t>s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 señor</w:t>
      </w:r>
      <w:r w:rsidR="00674079" w:rsidRPr="00B24659">
        <w:rPr>
          <w:rFonts w:ascii="Century Gothic" w:hAnsi="Century Gothic" w:cs="Calibri"/>
          <w:sz w:val="16"/>
          <w:szCs w:val="16"/>
          <w:lang w:val="es-ES_tradnl"/>
        </w:rPr>
        <w:t>es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>:</w:t>
      </w:r>
    </w:p>
    <w:p w:rsidR="00AF5F6D" w:rsidRPr="00B24659" w:rsidRDefault="00AF5F6D" w:rsidP="00AF5F6D">
      <w:pPr>
        <w:rPr>
          <w:rFonts w:ascii="Century Gothic" w:hAnsi="Century Gothic" w:cs="Calibri"/>
          <w:sz w:val="16"/>
          <w:szCs w:val="16"/>
          <w:lang w:val="es-ES_tradnl"/>
        </w:rPr>
      </w:pPr>
    </w:p>
    <w:p w:rsidR="0030580C" w:rsidRPr="00B24659" w:rsidRDefault="00A400EE" w:rsidP="00CA23F7">
      <w:pPr>
        <w:jc w:val="both"/>
        <w:rPr>
          <w:rFonts w:ascii="Century Gothic" w:hAnsi="Century Gothic" w:cs="Arial"/>
          <w:sz w:val="16"/>
          <w:szCs w:val="16"/>
          <w:lang w:val="es-CO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Los invitamos a presentar cotización para </w:t>
      </w:r>
      <w:r w:rsidR="002E6DD2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“</w:t>
      </w:r>
      <w:r w:rsidR="00707D2E" w:rsidRPr="00707D2E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Adquirir fertilizantes, como mecanismo de fortalecimiento de la producción y comercialización de tomate.</w:t>
      </w:r>
      <w:r w:rsidR="002E6DD2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”</w:t>
      </w:r>
      <w:r w:rsidRPr="00B24659">
        <w:rPr>
          <w:rFonts w:ascii="Century Gothic" w:hAnsi="Century Gothic" w:cs="Calibri"/>
          <w:sz w:val="16"/>
          <w:szCs w:val="16"/>
          <w:u w:val="single"/>
          <w:lang w:val="es-ES_tradnl"/>
        </w:rPr>
        <w:t>,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 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>de acuerdo a lo sol</w:t>
      </w:r>
      <w:r w:rsidR="00CA23F7" w:rsidRPr="00B24659">
        <w:rPr>
          <w:rFonts w:ascii="Century Gothic" w:hAnsi="Century Gothic" w:cs="Calibri"/>
          <w:sz w:val="16"/>
          <w:szCs w:val="16"/>
          <w:lang w:val="es-ES_tradnl"/>
        </w:rPr>
        <w:t>i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>citado</w:t>
      </w:r>
      <w:r w:rsidR="00CA23F7" w:rsidRPr="00B24659">
        <w:rPr>
          <w:rFonts w:ascii="Century Gothic" w:hAnsi="Century Gothic" w:cs="Calibri"/>
          <w:sz w:val="16"/>
          <w:szCs w:val="16"/>
          <w:lang w:val="es-ES_tradnl"/>
        </w:rPr>
        <w:t xml:space="preserve"> en las especificaci</w:t>
      </w:r>
      <w:r w:rsidR="00517A4B" w:rsidRPr="00B24659">
        <w:rPr>
          <w:rFonts w:ascii="Century Gothic" w:hAnsi="Century Gothic" w:cs="Calibri"/>
          <w:sz w:val="16"/>
          <w:szCs w:val="16"/>
          <w:lang w:val="es-ES_tradnl"/>
        </w:rPr>
        <w:t>ones técnicas adjuntas a esta SD</w:t>
      </w:r>
      <w:r w:rsidR="00CA23F7" w:rsidRPr="00B24659">
        <w:rPr>
          <w:rFonts w:ascii="Century Gothic" w:hAnsi="Century Gothic" w:cs="Calibri"/>
          <w:sz w:val="16"/>
          <w:szCs w:val="16"/>
          <w:lang w:val="es-ES_tradnl"/>
        </w:rPr>
        <w:t xml:space="preserve">C. </w:t>
      </w:r>
    </w:p>
    <w:p w:rsidR="0030580C" w:rsidRPr="00B24659" w:rsidRDefault="0030580C" w:rsidP="0030580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0E4019" w:rsidRPr="00B24659" w:rsidRDefault="0030580C" w:rsidP="0030580C">
      <w:pPr>
        <w:outlineLvl w:val="0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La cotización deberá ser entregada en sobre sellado en original y una copia</w:t>
      </w:r>
      <w:r w:rsidR="00707D2E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en digital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, a más tardar </w:t>
      </w:r>
      <w:r w:rsidR="00517A4B"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el </w:t>
      </w:r>
      <w:r w:rsidR="004054C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04</w:t>
      </w:r>
      <w:r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de </w:t>
      </w:r>
      <w:r w:rsidR="00707D2E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agosto</w:t>
      </w:r>
      <w:r w:rsidR="00312B1C"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</w:t>
      </w:r>
      <w:r w:rsidR="002E6DD2"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de 2014 a las </w:t>
      </w:r>
      <w:r w:rsidR="00312B1C"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4</w:t>
      </w:r>
      <w:r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:00 p.m., en la </w:t>
      </w:r>
      <w:r w:rsidR="008E6143"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Calle 102 No. 17ª – 61 </w:t>
      </w:r>
      <w:r w:rsidRPr="00B2465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de la ciudad de Bogotá.</w:t>
      </w:r>
    </w:p>
    <w:p w:rsidR="0030580C" w:rsidRPr="00B24659" w:rsidRDefault="0030580C" w:rsidP="00E86D94">
      <w:pPr>
        <w:outlineLvl w:val="0"/>
        <w:rPr>
          <w:rFonts w:ascii="Century Gothic" w:hAnsi="Century Gothic" w:cs="Calibri"/>
          <w:sz w:val="16"/>
          <w:szCs w:val="16"/>
          <w:lang w:val="es-ES_tradnl"/>
        </w:rPr>
      </w:pPr>
    </w:p>
    <w:p w:rsidR="00E86D94" w:rsidRPr="00B24659" w:rsidRDefault="00E86D94" w:rsidP="00E86D94">
      <w:pPr>
        <w:outlineLvl w:val="0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>El sobre deberá contener la siguiente información:</w:t>
      </w:r>
    </w:p>
    <w:p w:rsidR="0030580C" w:rsidRPr="00B24659" w:rsidRDefault="0030580C" w:rsidP="0030580C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30580C" w:rsidRPr="00707D2E" w:rsidRDefault="008E6143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b/>
          <w:color w:val="000000"/>
          <w:sz w:val="16"/>
          <w:szCs w:val="16"/>
          <w:lang w:val="es-CO"/>
        </w:rPr>
      </w:pPr>
      <w:r w:rsidRPr="00707D2E">
        <w:rPr>
          <w:rFonts w:ascii="Century Gothic" w:hAnsi="Century Gothic" w:cs="Calibri"/>
          <w:b/>
          <w:color w:val="000000"/>
          <w:sz w:val="16"/>
          <w:szCs w:val="16"/>
          <w:lang w:val="es-CO"/>
        </w:rPr>
        <w:t xml:space="preserve">Oficina </w:t>
      </w:r>
      <w:r w:rsidR="0030580C" w:rsidRPr="00707D2E">
        <w:rPr>
          <w:rFonts w:ascii="Century Gothic" w:hAnsi="Century Gothic" w:cs="Calibri"/>
          <w:b/>
          <w:color w:val="000000"/>
          <w:sz w:val="16"/>
          <w:szCs w:val="16"/>
          <w:lang w:val="es-CO"/>
        </w:rPr>
        <w:t xml:space="preserve">de las Naciones Unidas </w:t>
      </w:r>
      <w:r w:rsidRPr="00707D2E">
        <w:rPr>
          <w:rFonts w:ascii="Century Gothic" w:hAnsi="Century Gothic" w:cs="Calibri"/>
          <w:b/>
          <w:color w:val="000000"/>
          <w:sz w:val="16"/>
          <w:szCs w:val="16"/>
          <w:lang w:val="es-CO"/>
        </w:rPr>
        <w:t>contra la Droga y el Delito</w:t>
      </w:r>
      <w:r w:rsidR="0030580C" w:rsidRPr="00707D2E">
        <w:rPr>
          <w:rFonts w:ascii="Century Gothic" w:hAnsi="Century Gothic" w:cs="Calibri"/>
          <w:b/>
          <w:color w:val="000000"/>
          <w:sz w:val="16"/>
          <w:szCs w:val="16"/>
          <w:lang w:val="es-CO"/>
        </w:rPr>
        <w:t xml:space="preserve"> </w:t>
      </w:r>
      <w:r w:rsidR="00707D2E">
        <w:rPr>
          <w:rFonts w:ascii="Century Gothic" w:hAnsi="Century Gothic" w:cs="Calibri"/>
          <w:b/>
          <w:color w:val="000000"/>
          <w:sz w:val="16"/>
          <w:szCs w:val="16"/>
          <w:lang w:val="es-CO"/>
        </w:rPr>
        <w:t>- UNODC</w:t>
      </w:r>
    </w:p>
    <w:p w:rsidR="0030580C" w:rsidRPr="00B24659" w:rsidRDefault="0030580C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color w:val="000000"/>
          <w:sz w:val="16"/>
          <w:szCs w:val="16"/>
          <w:lang w:val="es-CO"/>
        </w:rPr>
      </w:pPr>
      <w:proofErr w:type="spellStart"/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Atn</w:t>
      </w:r>
      <w:proofErr w:type="spellEnd"/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. </w:t>
      </w:r>
      <w:r w:rsidR="008E6143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Unidad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de Adquisiciones </w:t>
      </w:r>
    </w:p>
    <w:p w:rsidR="0030580C" w:rsidRPr="00B24659" w:rsidRDefault="0030580C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Dirección: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="008E6143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Calle 102 No.17ª - 61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</w:t>
      </w:r>
    </w:p>
    <w:p w:rsidR="0030580C" w:rsidRPr="00B24659" w:rsidRDefault="0030580C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Ciudad: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  <w:t xml:space="preserve">Bogotá </w:t>
      </w:r>
    </w:p>
    <w:p w:rsidR="0030580C" w:rsidRPr="00B24659" w:rsidRDefault="0030580C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e-mail: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hyperlink r:id="rId13" w:history="1">
        <w:r w:rsidR="008E6143" w:rsidRPr="00B24659">
          <w:rPr>
            <w:rStyle w:val="Hipervnculo"/>
            <w:rFonts w:ascii="Century Gothic" w:hAnsi="Century Gothic"/>
            <w:sz w:val="16"/>
            <w:szCs w:val="16"/>
            <w:lang w:val="es-CO"/>
          </w:rPr>
          <w:t>adquisiciones.col@unodc.org</w:t>
        </w:r>
      </w:hyperlink>
      <w:r w:rsidR="008E6143" w:rsidRPr="00B24659">
        <w:rPr>
          <w:rFonts w:ascii="Century Gothic" w:hAnsi="Century Gothic"/>
          <w:sz w:val="16"/>
          <w:szCs w:val="16"/>
          <w:lang w:val="es-CO"/>
        </w:rPr>
        <w:t xml:space="preserve">, </w:t>
      </w:r>
      <w:r w:rsidR="00595E38" w:rsidRPr="00B24659">
        <w:rPr>
          <w:rFonts w:ascii="Century Gothic" w:hAnsi="Century Gothic" w:cs="Calibri"/>
          <w:color w:val="FF0000"/>
          <w:sz w:val="16"/>
          <w:szCs w:val="16"/>
          <w:lang w:val="es-CO"/>
        </w:rPr>
        <w:t xml:space="preserve"> </w:t>
      </w:r>
      <w:r w:rsidRPr="00B24659">
        <w:rPr>
          <w:rFonts w:ascii="Century Gothic" w:hAnsi="Century Gothic" w:cs="Calibri"/>
          <w:color w:val="FF0000"/>
          <w:sz w:val="16"/>
          <w:szCs w:val="16"/>
          <w:lang w:val="es-CO"/>
        </w:rPr>
        <w:t xml:space="preserve"> </w:t>
      </w:r>
    </w:p>
    <w:p w:rsidR="0030580C" w:rsidRPr="00B24659" w:rsidRDefault="0030580C" w:rsidP="0030580C">
      <w:pPr>
        <w:autoSpaceDE w:val="0"/>
        <w:autoSpaceDN w:val="0"/>
        <w:adjustRightInd w:val="0"/>
        <w:ind w:left="2127" w:hanging="1418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Asunto: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="000B1154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“</w:t>
      </w:r>
      <w:r w:rsidR="00707D2E" w:rsidRPr="00707D2E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Adquirir fertilizantes, como mecanismo de fortalecimiento de la producción y comercialización de tomate</w:t>
      </w:r>
      <w:r w:rsidR="000B1154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”</w:t>
      </w:r>
    </w:p>
    <w:p w:rsidR="0030580C" w:rsidRPr="00B24659" w:rsidRDefault="0030580C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Proceso: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="00312B1C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="00CA7FF3" w:rsidRPr="00B24659">
        <w:rPr>
          <w:rFonts w:ascii="Century Gothic" w:hAnsi="Century Gothic" w:cs="Calibri"/>
          <w:b/>
          <w:bCs/>
          <w:sz w:val="16"/>
          <w:szCs w:val="16"/>
          <w:lang w:val="es-CO"/>
        </w:rPr>
        <w:t xml:space="preserve">SDC No. </w:t>
      </w:r>
      <w:r w:rsidR="00707D2E">
        <w:rPr>
          <w:rFonts w:ascii="Century Gothic" w:hAnsi="Century Gothic" w:cs="Calibri"/>
          <w:b/>
          <w:bCs/>
          <w:sz w:val="16"/>
          <w:szCs w:val="16"/>
          <w:lang w:val="es-CO"/>
        </w:rPr>
        <w:t>790</w:t>
      </w:r>
      <w:r w:rsidR="008E6143" w:rsidRPr="00B24659">
        <w:rPr>
          <w:rFonts w:ascii="Century Gothic" w:hAnsi="Century Gothic" w:cs="Calibri"/>
          <w:b/>
          <w:bCs/>
          <w:sz w:val="16"/>
          <w:szCs w:val="16"/>
          <w:lang w:val="es-CO"/>
        </w:rPr>
        <w:t xml:space="preserve"> de  2014</w:t>
      </w:r>
      <w:r w:rsidRPr="00B24659">
        <w:rPr>
          <w:rFonts w:ascii="Century Gothic" w:hAnsi="Century Gothic" w:cs="Calibri"/>
          <w:b/>
          <w:bCs/>
          <w:sz w:val="16"/>
          <w:szCs w:val="16"/>
          <w:lang w:val="es-CO"/>
        </w:rPr>
        <w:t xml:space="preserve"> </w:t>
      </w:r>
    </w:p>
    <w:p w:rsidR="0030580C" w:rsidRPr="00B24659" w:rsidRDefault="0030580C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Oferente: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  <w:t xml:space="preserve">________________________________________ </w:t>
      </w:r>
    </w:p>
    <w:p w:rsidR="0030580C" w:rsidRPr="00B24659" w:rsidRDefault="0030580C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Domicilio: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  <w:t>_________</w:t>
      </w:r>
      <w:r w:rsidR="00EE458A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</w:t>
      </w:r>
    </w:p>
    <w:p w:rsidR="0030580C" w:rsidRPr="00B24659" w:rsidRDefault="0030580C" w:rsidP="0030580C">
      <w:pPr>
        <w:autoSpaceDE w:val="0"/>
        <w:autoSpaceDN w:val="0"/>
        <w:adjustRightInd w:val="0"/>
        <w:ind w:left="709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Ciudad: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  <w:t>__________</w:t>
      </w:r>
      <w:r w:rsidR="00EE458A">
        <w:rPr>
          <w:rFonts w:ascii="Century Gothic" w:hAnsi="Century Gothic" w:cs="Calibri"/>
          <w:color w:val="000000"/>
          <w:sz w:val="16"/>
          <w:szCs w:val="16"/>
          <w:lang w:val="es-CO"/>
        </w:rPr>
        <w:t>______ País: ___________________</w:t>
      </w:r>
    </w:p>
    <w:p w:rsidR="0030580C" w:rsidRPr="00B24659" w:rsidRDefault="0030580C" w:rsidP="0030580C">
      <w:pPr>
        <w:ind w:left="72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Teléfono: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="00312B1C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ab/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__________</w:t>
      </w:r>
      <w:r w:rsidR="00EE458A">
        <w:rPr>
          <w:rFonts w:ascii="Century Gothic" w:hAnsi="Century Gothic" w:cs="Calibri"/>
          <w:color w:val="000000"/>
          <w:sz w:val="16"/>
          <w:szCs w:val="16"/>
          <w:lang w:val="es-CO"/>
        </w:rPr>
        <w:t>______ Fax: _________________</w:t>
      </w:r>
    </w:p>
    <w:p w:rsidR="00824A64" w:rsidRPr="00B24659" w:rsidRDefault="0030580C" w:rsidP="0030580C">
      <w:pPr>
        <w:ind w:left="720"/>
        <w:jc w:val="both"/>
        <w:rPr>
          <w:rFonts w:ascii="Century Gothic" w:hAnsi="Century Gothic" w:cstheme="minorHAnsi"/>
          <w:b/>
          <w:sz w:val="16"/>
          <w:szCs w:val="16"/>
          <w:lang w:val="es-CO"/>
        </w:rPr>
      </w:pPr>
      <w:r w:rsidRPr="00B24659">
        <w:rPr>
          <w:rFonts w:ascii="Century Gothic" w:hAnsi="Century Gothic" w:cstheme="minorHAnsi"/>
          <w:b/>
          <w:sz w:val="16"/>
          <w:szCs w:val="16"/>
          <w:lang w:val="es-CO"/>
        </w:rPr>
        <w:t>NO ABRIR</w:t>
      </w:r>
      <w:r w:rsidR="00517A4B" w:rsidRPr="00B24659">
        <w:rPr>
          <w:rFonts w:ascii="Century Gothic" w:hAnsi="Century Gothic" w:cstheme="minorHAnsi"/>
          <w:b/>
          <w:sz w:val="16"/>
          <w:szCs w:val="16"/>
          <w:lang w:val="es-CO"/>
        </w:rPr>
        <w:t xml:space="preserve"> ANTES DE: </w:t>
      </w:r>
      <w:r w:rsidR="004054C4">
        <w:rPr>
          <w:rFonts w:ascii="Century Gothic" w:hAnsi="Century Gothic" w:cstheme="minorHAnsi"/>
          <w:b/>
          <w:sz w:val="16"/>
          <w:szCs w:val="16"/>
          <w:lang w:val="es-CO"/>
        </w:rPr>
        <w:t>04</w:t>
      </w:r>
      <w:r w:rsidR="00824A64" w:rsidRPr="00B24659">
        <w:rPr>
          <w:rFonts w:ascii="Century Gothic" w:hAnsi="Century Gothic" w:cstheme="minorHAnsi"/>
          <w:b/>
          <w:sz w:val="16"/>
          <w:szCs w:val="16"/>
          <w:lang w:val="es-CO"/>
        </w:rPr>
        <w:t xml:space="preserve"> de </w:t>
      </w:r>
      <w:r w:rsidR="00707D2E">
        <w:rPr>
          <w:rFonts w:ascii="Century Gothic" w:hAnsi="Century Gothic" w:cstheme="minorHAnsi"/>
          <w:b/>
          <w:sz w:val="16"/>
          <w:szCs w:val="16"/>
          <w:lang w:val="es-CO"/>
        </w:rPr>
        <w:t>agosto</w:t>
      </w:r>
      <w:r w:rsidR="00824A64" w:rsidRPr="00B24659">
        <w:rPr>
          <w:rFonts w:ascii="Century Gothic" w:hAnsi="Century Gothic" w:cstheme="minorHAnsi"/>
          <w:b/>
          <w:sz w:val="16"/>
          <w:szCs w:val="16"/>
          <w:lang w:val="es-CO"/>
        </w:rPr>
        <w:t xml:space="preserve"> de 201</w:t>
      </w:r>
      <w:r w:rsidR="002E6DD2" w:rsidRPr="00B24659">
        <w:rPr>
          <w:rFonts w:ascii="Century Gothic" w:hAnsi="Century Gothic" w:cstheme="minorHAnsi"/>
          <w:b/>
          <w:sz w:val="16"/>
          <w:szCs w:val="16"/>
          <w:lang w:val="es-CO"/>
        </w:rPr>
        <w:t>4</w:t>
      </w:r>
      <w:r w:rsidR="00824A64" w:rsidRPr="00B24659">
        <w:rPr>
          <w:rFonts w:ascii="Century Gothic" w:hAnsi="Century Gothic" w:cstheme="minorHAnsi"/>
          <w:b/>
          <w:sz w:val="16"/>
          <w:szCs w:val="16"/>
          <w:lang w:val="es-CO"/>
        </w:rPr>
        <w:t xml:space="preserve"> antes de las </w:t>
      </w:r>
      <w:r w:rsidR="00707D2E">
        <w:rPr>
          <w:rFonts w:ascii="Century Gothic" w:hAnsi="Century Gothic" w:cstheme="minorHAnsi"/>
          <w:b/>
          <w:sz w:val="16"/>
          <w:szCs w:val="16"/>
          <w:lang w:val="es-CO"/>
        </w:rPr>
        <w:t>4</w:t>
      </w:r>
      <w:r w:rsidR="00824A64" w:rsidRPr="00B24659">
        <w:rPr>
          <w:rFonts w:ascii="Century Gothic" w:hAnsi="Century Gothic" w:cstheme="minorHAnsi"/>
          <w:b/>
          <w:sz w:val="16"/>
          <w:szCs w:val="16"/>
          <w:lang w:val="es-CO"/>
        </w:rPr>
        <w:t xml:space="preserve">:00 </w:t>
      </w:r>
      <w:proofErr w:type="spellStart"/>
      <w:r w:rsidR="00824A64" w:rsidRPr="00B24659">
        <w:rPr>
          <w:rFonts w:ascii="Century Gothic" w:hAnsi="Century Gothic" w:cstheme="minorHAnsi"/>
          <w:b/>
          <w:sz w:val="16"/>
          <w:szCs w:val="16"/>
          <w:lang w:val="es-CO"/>
        </w:rPr>
        <w:t>p.m</w:t>
      </w:r>
      <w:proofErr w:type="spellEnd"/>
    </w:p>
    <w:p w:rsidR="00824A64" w:rsidRPr="00B24659" w:rsidRDefault="00824A64" w:rsidP="00824A64">
      <w:pPr>
        <w:jc w:val="both"/>
        <w:rPr>
          <w:rFonts w:ascii="Century Gothic" w:hAnsi="Century Gothic" w:cs="Calibri"/>
          <w:sz w:val="16"/>
          <w:szCs w:val="16"/>
          <w:lang w:val="es-CO"/>
        </w:rPr>
      </w:pPr>
    </w:p>
    <w:p w:rsidR="00824A64" w:rsidRPr="00B24659" w:rsidRDefault="00824A64" w:rsidP="00824A64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Su </w:t>
      </w:r>
      <w:r w:rsidR="00443673" w:rsidRPr="00B24659">
        <w:rPr>
          <w:rFonts w:ascii="Century Gothic" w:hAnsi="Century Gothic" w:cs="Calibri"/>
          <w:sz w:val="16"/>
          <w:szCs w:val="16"/>
          <w:lang w:val="es-ES_tradnl"/>
        </w:rPr>
        <w:t>cotización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 deberá estar redactada en español, enviada en original y será válida por un periodo mínimo de </w:t>
      </w:r>
      <w:r w:rsidR="00443673" w:rsidRPr="00B24659">
        <w:rPr>
          <w:rFonts w:ascii="Century Gothic" w:hAnsi="Century Gothic" w:cs="Calibri"/>
          <w:b/>
          <w:sz w:val="16"/>
          <w:szCs w:val="16"/>
          <w:lang w:val="es-ES_tradnl"/>
        </w:rPr>
        <w:t>6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>0 días</w:t>
      </w:r>
      <w:r w:rsidRPr="00B24659">
        <w:rPr>
          <w:rFonts w:ascii="Century Gothic" w:hAnsi="Century Gothic" w:cs="Calibri"/>
          <w:b/>
          <w:color w:val="FF0000"/>
          <w:sz w:val="16"/>
          <w:szCs w:val="16"/>
          <w:lang w:val="es-ES_tradnl"/>
        </w:rPr>
        <w:t xml:space="preserve"> </w:t>
      </w:r>
      <w:r w:rsidRPr="00B24659">
        <w:rPr>
          <w:rFonts w:ascii="Century Gothic" w:hAnsi="Century Gothic" w:cs="Calibri"/>
          <w:b/>
          <w:sz w:val="16"/>
          <w:szCs w:val="16"/>
          <w:lang w:val="es-ES_tradnl"/>
        </w:rPr>
        <w:t xml:space="preserve">calendario.  </w:t>
      </w:r>
    </w:p>
    <w:p w:rsidR="00824A64" w:rsidRPr="00B24659" w:rsidRDefault="00824A64" w:rsidP="00824A64">
      <w:pPr>
        <w:jc w:val="both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824A64" w:rsidRPr="00B24659" w:rsidRDefault="00824A64" w:rsidP="00824A64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Los oferentes podrán solicitar a UNODC aclaraciones hasta el </w:t>
      </w:r>
      <w:r w:rsidR="00707D2E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30</w:t>
      </w:r>
      <w:r w:rsidR="002A4B8A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 de </w:t>
      </w:r>
      <w:r w:rsidR="00707D2E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julio</w:t>
      </w:r>
      <w:r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 de 201</w:t>
      </w:r>
      <w:r w:rsidR="00595E38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4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.  Todas las solicitudes de aclaración deberán presentarse en español, por escrito y enviarse al correo electrónico  </w:t>
      </w:r>
      <w:hyperlink r:id="rId14" w:history="1">
        <w:r w:rsidR="008E6143" w:rsidRPr="00B24659">
          <w:rPr>
            <w:rStyle w:val="Hipervnculo"/>
            <w:rFonts w:ascii="Century Gothic" w:hAnsi="Century Gothic"/>
            <w:b/>
            <w:sz w:val="16"/>
            <w:szCs w:val="16"/>
            <w:lang w:val="es-CO"/>
          </w:rPr>
          <w:t>adquisiciones.col@unodc.org</w:t>
        </w:r>
      </w:hyperlink>
      <w:r w:rsidR="00595E38"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 xml:space="preserve">, </w:t>
      </w:r>
      <w:r w:rsidRPr="00B2465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No se atenderán consultas anónimas, ni verbales.</w:t>
      </w:r>
      <w:r w:rsidRPr="00B24659">
        <w:rPr>
          <w:rFonts w:ascii="Century Gothic" w:hAnsi="Century Gothic" w:cs="Calibri"/>
          <w:sz w:val="16"/>
          <w:szCs w:val="16"/>
          <w:u w:val="single"/>
          <w:lang w:val="es-ES_tradnl"/>
        </w:rPr>
        <w:t xml:space="preserve"> 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 </w:t>
      </w:r>
    </w:p>
    <w:p w:rsidR="00FD687F" w:rsidRPr="00B24659" w:rsidRDefault="00FD687F" w:rsidP="00FD687F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BB633E" w:rsidRPr="00B24659" w:rsidRDefault="00BE6392" w:rsidP="000E4019">
      <w:pPr>
        <w:jc w:val="both"/>
        <w:rPr>
          <w:rFonts w:ascii="Century Gothic" w:hAnsi="Century Gothic"/>
          <w:sz w:val="16"/>
          <w:szCs w:val="16"/>
          <w:lang w:val="es-ES_tradnl"/>
        </w:rPr>
      </w:pP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Será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su responsabilidad asegurarse de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que su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cotización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llega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a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la dirección antes mencionada o antes de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la fecha límite.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Las 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cotizaciones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que se recib</w:t>
      </w:r>
      <w:r w:rsidRPr="00B24659">
        <w:rPr>
          <w:rStyle w:val="hps"/>
          <w:rFonts w:ascii="Century Gothic" w:hAnsi="Century Gothic"/>
          <w:sz w:val="16"/>
          <w:szCs w:val="16"/>
          <w:lang w:val="es-ES_tradnl"/>
        </w:rPr>
        <w:t>a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n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Pr="00B24659">
        <w:rPr>
          <w:rFonts w:ascii="Century Gothic" w:hAnsi="Century Gothic"/>
          <w:sz w:val="16"/>
          <w:szCs w:val="16"/>
          <w:lang w:val="es-ES_tradnl"/>
        </w:rPr>
        <w:t>en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 </w:t>
      </w:r>
      <w:r w:rsidR="00507670" w:rsidRPr="00B24659">
        <w:rPr>
          <w:rStyle w:val="hps"/>
          <w:rFonts w:ascii="Century Gothic" w:hAnsi="Century Gothic"/>
          <w:sz w:val="16"/>
          <w:szCs w:val="16"/>
          <w:lang w:val="es-ES_tradnl"/>
        </w:rPr>
        <w:t>UNODC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después del plazo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indicado,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por cualquier razón,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no </w:t>
      </w:r>
      <w:r w:rsidR="00AA21F7" w:rsidRPr="00B24659">
        <w:rPr>
          <w:rStyle w:val="hps"/>
          <w:rFonts w:ascii="Century Gothic" w:hAnsi="Century Gothic"/>
          <w:sz w:val="16"/>
          <w:szCs w:val="16"/>
          <w:lang w:val="es-ES_tradnl"/>
        </w:rPr>
        <w:t xml:space="preserve">se tomarán en consideración a efectos de </w:t>
      </w:r>
      <w:r w:rsidR="00BB633E" w:rsidRPr="00B24659">
        <w:rPr>
          <w:rStyle w:val="hps"/>
          <w:rFonts w:ascii="Century Gothic" w:hAnsi="Century Gothic"/>
          <w:sz w:val="16"/>
          <w:szCs w:val="16"/>
          <w:lang w:val="es-ES_tradnl"/>
        </w:rPr>
        <w:t>evaluación.</w:t>
      </w:r>
      <w:r w:rsidR="00BB633E" w:rsidRPr="00B24659">
        <w:rPr>
          <w:rFonts w:ascii="Century Gothic" w:hAnsi="Century Gothic"/>
          <w:sz w:val="16"/>
          <w:szCs w:val="16"/>
          <w:lang w:val="es-ES_tradnl"/>
        </w:rPr>
        <w:t xml:space="preserve"> </w:t>
      </w:r>
    </w:p>
    <w:p w:rsidR="00BE6392" w:rsidRPr="00B24659" w:rsidRDefault="006F1596" w:rsidP="00BE6392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ab/>
      </w:r>
    </w:p>
    <w:p w:rsidR="009E5436" w:rsidRPr="00B24659" w:rsidRDefault="00BB633E" w:rsidP="00BE6392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Le rogamos tome nota de los siguientes </w:t>
      </w:r>
      <w:r w:rsidR="00BE6392" w:rsidRPr="00B24659">
        <w:rPr>
          <w:rFonts w:ascii="Century Gothic" w:hAnsi="Century Gothic" w:cs="Calibri"/>
          <w:sz w:val="16"/>
          <w:szCs w:val="16"/>
          <w:lang w:val="es-ES_tradnl"/>
        </w:rPr>
        <w:t>requisitos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 xml:space="preserve"> y condiciones relativ</w:t>
      </w:r>
      <w:r w:rsidR="00C5735A" w:rsidRPr="00B24659">
        <w:rPr>
          <w:rFonts w:ascii="Century Gothic" w:hAnsi="Century Gothic" w:cs="Calibri"/>
          <w:sz w:val="16"/>
          <w:szCs w:val="16"/>
          <w:lang w:val="es-ES_tradnl"/>
        </w:rPr>
        <w:t>o</w:t>
      </w:r>
      <w:r w:rsidRPr="00B24659">
        <w:rPr>
          <w:rFonts w:ascii="Century Gothic" w:hAnsi="Century Gothic" w:cs="Calibri"/>
          <w:sz w:val="16"/>
          <w:szCs w:val="16"/>
          <w:lang w:val="es-ES_tradnl"/>
        </w:rPr>
        <w:t>s al suministro de los bienes antes citados</w:t>
      </w:r>
      <w:r w:rsidR="006C1333" w:rsidRPr="00B24659">
        <w:rPr>
          <w:rFonts w:ascii="Century Gothic" w:hAnsi="Century Gothic" w:cs="Calibri"/>
          <w:sz w:val="16"/>
          <w:szCs w:val="16"/>
          <w:lang w:val="es-ES_tradnl"/>
        </w:rPr>
        <w:t>:</w:t>
      </w:r>
      <w:r w:rsidR="00E623E8" w:rsidRPr="00B24659">
        <w:rPr>
          <w:rFonts w:ascii="Century Gothic" w:hAnsi="Century Gothic" w:cs="Calibri"/>
          <w:sz w:val="16"/>
          <w:szCs w:val="16"/>
          <w:lang w:val="es-ES_tradnl"/>
        </w:rPr>
        <w:t xml:space="preserve"> </w:t>
      </w:r>
    </w:p>
    <w:p w:rsidR="00FC647D" w:rsidRPr="00B24659" w:rsidRDefault="00FC647D">
      <w:pPr>
        <w:rPr>
          <w:rFonts w:ascii="Century Gothic" w:hAnsi="Century Gothic" w:cs="Calibri"/>
          <w:sz w:val="16"/>
          <w:szCs w:val="16"/>
          <w:lang w:val="es-ES_tradnl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210"/>
      </w:tblGrid>
      <w:tr w:rsidR="003939B5" w:rsidRPr="007C1679" w:rsidTr="00312B1C">
        <w:trPr>
          <w:cantSplit/>
          <w:trHeight w:val="240"/>
          <w:jc w:val="center"/>
        </w:trPr>
        <w:tc>
          <w:tcPr>
            <w:tcW w:w="2970" w:type="dxa"/>
          </w:tcPr>
          <w:p w:rsidR="00AA21F7" w:rsidRPr="00B24659" w:rsidRDefault="00AE30ED" w:rsidP="00AE30ED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Fecha de entrega más tardías</w:t>
            </w:r>
            <w:r w:rsidR="00787B9F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(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si el momento de la entrega excede a éstas, la cotización podrá ser rechazada por </w:t>
            </w:r>
            <w:r w:rsidR="001F06E1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UNODC</w:t>
            </w:r>
            <w:r w:rsidR="00787B9F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210" w:type="dxa"/>
          </w:tcPr>
          <w:p w:rsidR="002A4B8A" w:rsidRPr="00B24659" w:rsidRDefault="002A4B8A" w:rsidP="002A4B8A">
            <w:pPr>
              <w:pStyle w:val="Prrafodelista"/>
              <w:ind w:left="428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2A4B8A" w:rsidRPr="00B24659" w:rsidRDefault="002A4B8A" w:rsidP="002A4B8A">
            <w:pPr>
              <w:pStyle w:val="Prrafodelista"/>
              <w:ind w:left="428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DC55CA" w:rsidRPr="00B24659" w:rsidRDefault="002A4B8A" w:rsidP="00707D2E">
            <w:pPr>
              <w:pStyle w:val="Prrafodelista"/>
              <w:numPr>
                <w:ilvl w:val="0"/>
                <w:numId w:val="4"/>
              </w:numPr>
              <w:ind w:left="428" w:hanging="425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CO"/>
              </w:rPr>
              <w:t>El servicio tend</w:t>
            </w:r>
            <w:r w:rsidR="00FF0ECD" w:rsidRPr="00B24659">
              <w:rPr>
                <w:rFonts w:ascii="Century Gothic" w:hAnsi="Century Gothic" w:cs="Calibri"/>
                <w:sz w:val="16"/>
                <w:szCs w:val="16"/>
                <w:lang w:val="es-CO"/>
              </w:rPr>
              <w:t xml:space="preserve">rá una duración máxima de 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CO"/>
              </w:rPr>
              <w:t>un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CO"/>
              </w:rPr>
              <w:t xml:space="preserve"> (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CO"/>
              </w:rPr>
              <w:t>1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CO"/>
              </w:rPr>
              <w:t>) mes</w:t>
            </w:r>
            <w:r w:rsidR="00BA0DB5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.</w:t>
            </w:r>
          </w:p>
        </w:tc>
      </w:tr>
      <w:tr w:rsidR="000713C5" w:rsidRPr="007C1679" w:rsidTr="00312B1C">
        <w:trPr>
          <w:jc w:val="center"/>
        </w:trPr>
        <w:tc>
          <w:tcPr>
            <w:tcW w:w="2970" w:type="dxa"/>
          </w:tcPr>
          <w:p w:rsidR="00312B1C" w:rsidRPr="00B24659" w:rsidRDefault="00312B1C" w:rsidP="004C6385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BB633E" w:rsidRPr="00B24659" w:rsidRDefault="00BB633E" w:rsidP="004C6385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Moneda preferente de cotización</w:t>
            </w:r>
          </w:p>
        </w:tc>
        <w:tc>
          <w:tcPr>
            <w:tcW w:w="6210" w:type="dxa"/>
          </w:tcPr>
          <w:p w:rsidR="000713C5" w:rsidRPr="00B24659" w:rsidRDefault="001F06E1" w:rsidP="001F06E1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Pesos Colombianos</w:t>
            </w:r>
            <w:r w:rsidR="00312B1C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- COP</w:t>
            </w:r>
          </w:p>
          <w:p w:rsidR="001F06E1" w:rsidRPr="00B24659" w:rsidRDefault="001F06E1" w:rsidP="00707D2E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Fecha de referencia para determinar el tipo de cambio opera</w:t>
            </w:r>
            <w:r w:rsidR="001A1A8C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tivo de la ONU: del mes de 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ES_tradnl"/>
              </w:rPr>
              <w:t>julio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$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ES_tradnl"/>
              </w:rPr>
              <w:t>1.886</w:t>
            </w:r>
          </w:p>
        </w:tc>
      </w:tr>
      <w:tr w:rsidR="003939B5" w:rsidRPr="007C1679" w:rsidTr="00312B1C">
        <w:trPr>
          <w:jc w:val="center"/>
        </w:trPr>
        <w:tc>
          <w:tcPr>
            <w:tcW w:w="2970" w:type="dxa"/>
          </w:tcPr>
          <w:p w:rsidR="00312B1C" w:rsidRPr="00B24659" w:rsidRDefault="00312B1C" w:rsidP="004C6385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3939B5" w:rsidRPr="00B24659" w:rsidRDefault="00F0639D" w:rsidP="004C6385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IVA sobre el precio cotizado</w:t>
            </w:r>
          </w:p>
        </w:tc>
        <w:tc>
          <w:tcPr>
            <w:tcW w:w="6210" w:type="dxa"/>
          </w:tcPr>
          <w:p w:rsidR="00312B1C" w:rsidRPr="00B24659" w:rsidRDefault="00312B1C" w:rsidP="00312B1C">
            <w:pPr>
              <w:pStyle w:val="Prrafodelista"/>
              <w:ind w:left="428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F0639D" w:rsidRPr="00B24659" w:rsidRDefault="00F0639D" w:rsidP="00681D2E">
            <w:pPr>
              <w:pStyle w:val="Prrafodelista"/>
              <w:numPr>
                <w:ilvl w:val="0"/>
                <w:numId w:val="4"/>
              </w:numPr>
              <w:ind w:left="428" w:hanging="425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Deberá incluir el IVA y otros impuestos indirectos aplicables</w:t>
            </w:r>
          </w:p>
          <w:p w:rsidR="003939B5" w:rsidRPr="00B24659" w:rsidRDefault="003939B5" w:rsidP="001F06E1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</w:tc>
      </w:tr>
      <w:tr w:rsidR="00A715B2" w:rsidRPr="00B24659" w:rsidTr="00312B1C">
        <w:trPr>
          <w:cantSplit/>
          <w:trHeight w:val="460"/>
          <w:jc w:val="center"/>
        </w:trPr>
        <w:tc>
          <w:tcPr>
            <w:tcW w:w="2970" w:type="dxa"/>
            <w:tcBorders>
              <w:bottom w:val="single" w:sz="4" w:space="0" w:color="auto"/>
            </w:tcBorders>
          </w:tcPr>
          <w:p w:rsidR="00A715B2" w:rsidRPr="00B24659" w:rsidRDefault="00F17B70" w:rsidP="00F02BA4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Fecha límite de presentación de la</w:t>
            </w:r>
            <w:r w:rsidR="00E623E8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="0011301E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cotización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59638C" w:rsidRPr="00B24659" w:rsidRDefault="0059638C" w:rsidP="00681D2E">
            <w:pPr>
              <w:pStyle w:val="Prrafodelista"/>
              <w:numPr>
                <w:ilvl w:val="0"/>
                <w:numId w:val="4"/>
              </w:numPr>
              <w:ind w:left="428" w:hanging="425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Fecha: </w:t>
            </w:r>
            <w:r w:rsidR="004054C4">
              <w:rPr>
                <w:rFonts w:ascii="Century Gothic" w:hAnsi="Century Gothic" w:cs="Calibri"/>
                <w:sz w:val="16"/>
                <w:szCs w:val="16"/>
                <w:lang w:val="es-ES_tradnl"/>
              </w:rPr>
              <w:t>04</w:t>
            </w:r>
            <w:r w:rsidR="00305C69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="00D33E5F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de 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ES_tradnl"/>
              </w:rPr>
              <w:t>agosto</w:t>
            </w:r>
            <w:r w:rsidR="00312B1C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de 2014</w:t>
            </w:r>
          </w:p>
          <w:p w:rsidR="00A715B2" w:rsidRPr="00B24659" w:rsidRDefault="00BA0DB5" w:rsidP="00707D2E">
            <w:pPr>
              <w:pStyle w:val="Prrafodelista"/>
              <w:ind w:left="428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Hora: </w:t>
            </w:r>
            <w:r w:rsidR="00707D2E">
              <w:rPr>
                <w:rFonts w:ascii="Century Gothic" w:hAnsi="Century Gothic" w:cs="Calibri"/>
                <w:sz w:val="16"/>
                <w:szCs w:val="16"/>
                <w:lang w:val="es-ES_tradnl"/>
              </w:rPr>
              <w:t>4</w:t>
            </w:r>
            <w:r w:rsidR="00D33E5F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:00 p.m.</w:t>
            </w:r>
          </w:p>
        </w:tc>
      </w:tr>
      <w:tr w:rsidR="003F4FA6" w:rsidRPr="00B24659" w:rsidTr="00312B1C">
        <w:trPr>
          <w:jc w:val="center"/>
        </w:trPr>
        <w:tc>
          <w:tcPr>
            <w:tcW w:w="2970" w:type="dxa"/>
          </w:tcPr>
          <w:p w:rsidR="003F4FA6" w:rsidRPr="00B24659" w:rsidRDefault="00575082" w:rsidP="000554B8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Toda la documentación, incluidos catálogos,</w:t>
            </w:r>
            <w:r w:rsidR="00E623E8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instrucciones y </w:t>
            </w:r>
            <w:r w:rsidR="00D9574C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manuales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operativos estará escrita 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lastRenderedPageBreak/>
              <w:t xml:space="preserve">en </w:t>
            </w:r>
            <w:r w:rsidR="00AA21F7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el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siguiente </w:t>
            </w:r>
            <w:r w:rsidR="00AA21F7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idioma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: </w:t>
            </w:r>
            <w:r w:rsidR="00163CAD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6210" w:type="dxa"/>
          </w:tcPr>
          <w:p w:rsidR="00312B1C" w:rsidRPr="00B24659" w:rsidRDefault="00312B1C" w:rsidP="00312B1C">
            <w:pPr>
              <w:pStyle w:val="Prrafodelista"/>
              <w:ind w:left="428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3F4FA6" w:rsidRPr="00B24659" w:rsidRDefault="000554B8" w:rsidP="00681D2E">
            <w:pPr>
              <w:pStyle w:val="Prrafodelista"/>
              <w:numPr>
                <w:ilvl w:val="0"/>
                <w:numId w:val="4"/>
              </w:numPr>
              <w:ind w:left="428" w:hanging="425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E</w:t>
            </w:r>
            <w:r w:rsidR="00575082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spañol</w:t>
            </w:r>
          </w:p>
        </w:tc>
      </w:tr>
      <w:tr w:rsidR="00307F3E" w:rsidRPr="007C1679" w:rsidTr="00312B1C">
        <w:trPr>
          <w:jc w:val="center"/>
        </w:trPr>
        <w:tc>
          <w:tcPr>
            <w:tcW w:w="2970" w:type="dxa"/>
          </w:tcPr>
          <w:p w:rsidR="00307F3E" w:rsidRPr="00B24659" w:rsidRDefault="00575082" w:rsidP="008F098B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lastRenderedPageBreak/>
              <w:t>Documentos que deberán presentarse</w:t>
            </w:r>
            <w:r w:rsidR="00517A4B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</w:tcPr>
          <w:p w:rsidR="0059638C" w:rsidRPr="00B24659" w:rsidRDefault="0059638C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b/>
                <w:sz w:val="16"/>
                <w:szCs w:val="16"/>
                <w:u w:val="single"/>
              </w:rPr>
              <w:t>Certificado de existencia y representación legal</w:t>
            </w:r>
            <w:r w:rsidRPr="00B24659">
              <w:rPr>
                <w:rFonts w:ascii="Century Gothic" w:hAnsi="Century Gothic"/>
                <w:sz w:val="16"/>
                <w:szCs w:val="16"/>
              </w:rPr>
              <w:t>, expedido por la Cámara de Comercio o entidad competente, en el cual conste: inscripción, matrícula vigente, objeto social y facultades del representante legal. El objeto social debe permitir la actividad, gestión u operac</w:t>
            </w:r>
            <w:r w:rsidR="00517A4B" w:rsidRPr="00B24659">
              <w:rPr>
                <w:rFonts w:ascii="Century Gothic" w:hAnsi="Century Gothic"/>
                <w:sz w:val="16"/>
                <w:szCs w:val="16"/>
              </w:rPr>
              <w:t>ión que se solicita en esta SD</w:t>
            </w:r>
            <w:r w:rsidR="00AF51B7" w:rsidRPr="00B24659">
              <w:rPr>
                <w:rFonts w:ascii="Century Gothic" w:hAnsi="Century Gothic"/>
                <w:sz w:val="16"/>
                <w:szCs w:val="16"/>
              </w:rPr>
              <w:t>C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y que es el objeto del contrato que de ella se derive. El certificado debe tener antigüedad no superior a 30 días. La duración de la persona jurídica debe ser igual al plazo del contrato y un año más. </w:t>
            </w:r>
          </w:p>
          <w:p w:rsidR="0059638C" w:rsidRPr="00B24659" w:rsidRDefault="0059638C" w:rsidP="00681D2E">
            <w:pPr>
              <w:pStyle w:val="MediumGrid1-Accent21"/>
              <w:numPr>
                <w:ilvl w:val="2"/>
                <w:numId w:val="2"/>
              </w:numPr>
              <w:ind w:left="853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 xml:space="preserve">Las firmas extranjeras sin sucursal en Colombia deberán acreditar su existencia y representación legal conforme a la legislación del país de origen. </w:t>
            </w:r>
          </w:p>
          <w:p w:rsidR="00076560" w:rsidRPr="00B24659" w:rsidRDefault="0059638C" w:rsidP="00681D2E">
            <w:pPr>
              <w:pStyle w:val="MediumGrid1-Accent21"/>
              <w:numPr>
                <w:ilvl w:val="2"/>
                <w:numId w:val="2"/>
              </w:numPr>
              <w:ind w:left="853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 xml:space="preserve">Si la oferta es presentada en unión temporal o consorcio, cada uno de los integrantes deberá acreditar la existencia y representación legal. </w:t>
            </w:r>
          </w:p>
          <w:p w:rsidR="008E6143" w:rsidRPr="00B24659" w:rsidRDefault="0059638C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24659">
              <w:rPr>
                <w:rFonts w:ascii="Century Gothic" w:hAnsi="Century Gothic"/>
                <w:b/>
                <w:sz w:val="16"/>
                <w:szCs w:val="16"/>
                <w:u w:val="single"/>
              </w:rPr>
              <w:t>AutoDeclaración</w:t>
            </w:r>
            <w:proofErr w:type="spellEnd"/>
            <w:r w:rsidRPr="00B2465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por escrito de que la empresa no está incluida en la Lista 1267/1989 del Consejo de Seguridad de la ONU</w:t>
            </w:r>
            <w:r w:rsidRPr="00B24659">
              <w:rPr>
                <w:rFonts w:ascii="Century Gothic" w:hAnsi="Century Gothic"/>
                <w:sz w:val="16"/>
                <w:szCs w:val="16"/>
              </w:rPr>
              <w:t>, o en la lista de la División de Adquisiciones de la ONU o en cualquier otra lista suspensiva de la ONU</w:t>
            </w:r>
            <w:r w:rsidR="008E6143" w:rsidRPr="00B24659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8E6143" w:rsidRPr="00B24659" w:rsidRDefault="008E6143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b/>
                <w:sz w:val="16"/>
                <w:szCs w:val="16"/>
                <w:u w:val="single"/>
              </w:rPr>
              <w:t>RUT Actualizado</w:t>
            </w:r>
            <w:r w:rsidR="00517A4B" w:rsidRPr="00B24659">
              <w:rPr>
                <w:rFonts w:ascii="Century Gothic" w:hAnsi="Century Gothic"/>
                <w:b/>
                <w:sz w:val="16"/>
                <w:szCs w:val="16"/>
                <w:u w:val="single"/>
              </w:rPr>
              <w:t>.</w:t>
            </w:r>
          </w:p>
          <w:p w:rsidR="0059638C" w:rsidRPr="00B24659" w:rsidRDefault="008E6143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Fotocopia de la cédula del representante legal.</w:t>
            </w:r>
            <w:r w:rsidR="0059638C" w:rsidRPr="00B2465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9638C" w:rsidRPr="00B24659" w:rsidRDefault="0059638C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b/>
                <w:sz w:val="16"/>
                <w:szCs w:val="16"/>
                <w:u w:val="single"/>
              </w:rPr>
              <w:t>Formato A - Presentación d</w:t>
            </w:r>
            <w:r w:rsidR="00517A4B" w:rsidRPr="00B24659">
              <w:rPr>
                <w:rFonts w:ascii="Century Gothic" w:hAnsi="Century Gothic"/>
                <w:b/>
                <w:sz w:val="16"/>
                <w:szCs w:val="16"/>
                <w:u w:val="single"/>
              </w:rPr>
              <w:t>e Cotización y Lista de Precios: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este formato debe estar debidamente firmado y adjunto a la Cotización, de lo contrario la Cotización será </w:t>
            </w:r>
            <w:r w:rsidRPr="00B24659">
              <w:rPr>
                <w:rFonts w:ascii="Century Gothic" w:hAnsi="Century Gothic"/>
                <w:b/>
                <w:sz w:val="16"/>
                <w:szCs w:val="16"/>
              </w:rPr>
              <w:t>rechazada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(la ausencia de este formato no es subsanable). </w:t>
            </w:r>
          </w:p>
          <w:p w:rsidR="008935D7" w:rsidRPr="00B24659" w:rsidRDefault="00B24659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24659">
              <w:rPr>
                <w:rFonts w:ascii="Century Gothic" w:hAnsi="Century Gothic"/>
                <w:b/>
                <w:sz w:val="16"/>
                <w:szCs w:val="16"/>
                <w:u w:val="single"/>
                <w:lang w:val="es-CO"/>
              </w:rPr>
              <w:t>Formato</w:t>
            </w:r>
            <w:r w:rsidR="00517A4B" w:rsidRPr="00B24659">
              <w:rPr>
                <w:rFonts w:ascii="Century Gothic" w:hAnsi="Century Gothic"/>
                <w:b/>
                <w:sz w:val="16"/>
                <w:szCs w:val="16"/>
                <w:u w:val="single"/>
                <w:lang w:val="es-CO"/>
              </w:rPr>
              <w:t xml:space="preserve"> </w:t>
            </w:r>
            <w:r w:rsidR="001409C1">
              <w:rPr>
                <w:rFonts w:ascii="Century Gothic" w:hAnsi="Century Gothic"/>
                <w:b/>
                <w:sz w:val="16"/>
                <w:szCs w:val="16"/>
                <w:u w:val="single"/>
                <w:lang w:val="es-CO"/>
              </w:rPr>
              <w:t>B</w:t>
            </w:r>
            <w:r w:rsidR="00517A4B" w:rsidRPr="00B24659">
              <w:rPr>
                <w:rFonts w:ascii="Century Gothic" w:hAnsi="Century Gothic"/>
                <w:b/>
                <w:sz w:val="16"/>
                <w:szCs w:val="16"/>
                <w:u w:val="single"/>
                <w:lang w:val="es-CO"/>
              </w:rPr>
              <w:t xml:space="preserve"> -  </w:t>
            </w:r>
            <w:proofErr w:type="spellStart"/>
            <w:r w:rsidR="00517A4B" w:rsidRPr="00B24659">
              <w:rPr>
                <w:rFonts w:ascii="Century Gothic" w:hAnsi="Century Gothic"/>
                <w:b/>
                <w:sz w:val="16"/>
                <w:szCs w:val="16"/>
                <w:u w:val="single"/>
                <w:lang w:val="es-CO"/>
              </w:rPr>
              <w:t>Informacion</w:t>
            </w:r>
            <w:proofErr w:type="spellEnd"/>
            <w:r w:rsidR="00517A4B" w:rsidRPr="00B24659">
              <w:rPr>
                <w:rFonts w:ascii="Century Gothic" w:hAnsi="Century Gothic"/>
                <w:b/>
                <w:sz w:val="16"/>
                <w:szCs w:val="16"/>
                <w:u w:val="single"/>
                <w:lang w:val="es-CO"/>
              </w:rPr>
              <w:t xml:space="preserve"> de la firma</w:t>
            </w:r>
            <w:r w:rsidR="00517A4B" w:rsidRPr="00B24659">
              <w:rPr>
                <w:rFonts w:ascii="Century Gothic" w:hAnsi="Century Gothic"/>
                <w:b/>
                <w:sz w:val="16"/>
                <w:szCs w:val="16"/>
                <w:lang w:val="es-CO"/>
              </w:rPr>
              <w:t>.</w:t>
            </w:r>
          </w:p>
          <w:p w:rsidR="00D9574C" w:rsidRPr="00B24659" w:rsidDel="00F84374" w:rsidRDefault="006A1036" w:rsidP="00312B1C">
            <w:pPr>
              <w:pStyle w:val="MediumGrid1-Accent21"/>
              <w:ind w:left="42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2B425D" w:rsidRPr="007C1679" w:rsidTr="00312B1C">
        <w:trPr>
          <w:jc w:val="center"/>
        </w:trPr>
        <w:tc>
          <w:tcPr>
            <w:tcW w:w="2970" w:type="dxa"/>
          </w:tcPr>
          <w:p w:rsidR="008E7F18" w:rsidRPr="00B24659" w:rsidRDefault="008E7F18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312B1C" w:rsidRPr="00B24659" w:rsidRDefault="00312B1C" w:rsidP="00575082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2B425D" w:rsidRPr="00B24659" w:rsidRDefault="00575082" w:rsidP="00575082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Periodo de validez de la cotización, a partir de la fecha de presentación</w:t>
            </w:r>
            <w:r w:rsidR="00920245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</w:tcPr>
          <w:p w:rsidR="00312B1C" w:rsidRPr="00B24659" w:rsidRDefault="00312B1C" w:rsidP="00312B1C">
            <w:pPr>
              <w:pStyle w:val="MediumGrid1-Accent21"/>
              <w:ind w:left="42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2B425D" w:rsidRPr="00B24659" w:rsidRDefault="00F84374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 xml:space="preserve">60 </w:t>
            </w:r>
            <w:r w:rsidR="00575082" w:rsidRPr="00B24659">
              <w:rPr>
                <w:rFonts w:ascii="Century Gothic" w:hAnsi="Century Gothic"/>
                <w:sz w:val="16"/>
                <w:szCs w:val="16"/>
              </w:rPr>
              <w:t>días</w:t>
            </w:r>
          </w:p>
          <w:p w:rsidR="00F349F5" w:rsidRPr="00B24659" w:rsidRDefault="00F349F5" w:rsidP="00D9574C">
            <w:pPr>
              <w:tabs>
                <w:tab w:val="left" w:pos="940"/>
              </w:tabs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BD2B0C" w:rsidRPr="00B24659" w:rsidRDefault="00575082" w:rsidP="00920245">
            <w:pPr>
              <w:tabs>
                <w:tab w:val="left" w:pos="940"/>
              </w:tabs>
              <w:jc w:val="both"/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En</w:t>
            </w:r>
            <w:r w:rsidR="008F098B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circunstancias excepcionales, </w:t>
            </w:r>
            <w:r w:rsidR="009D3DC8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UNODC</w:t>
            </w:r>
            <w:r w:rsidR="00BD2B0C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 xml:space="preserve"> </w:t>
            </w:r>
            <w:r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 xml:space="preserve">podrá pedir al proveedor que amplíe la vigencia de la cotización más </w:t>
            </w:r>
            <w:r w:rsidR="00EA2FFF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>allá</w:t>
            </w:r>
            <w:r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 xml:space="preserve"> del plazo inicialmente indicado en esta S</w:t>
            </w:r>
            <w:r w:rsidR="00920245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>D</w:t>
            </w:r>
            <w:r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>C</w:t>
            </w:r>
            <w:r w:rsidR="00BD2B0C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>.</w:t>
            </w:r>
            <w:r w:rsidR="00E623E8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 xml:space="preserve"> </w:t>
            </w:r>
            <w:r w:rsidR="00D9574C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 xml:space="preserve">El </w:t>
            </w:r>
            <w:r w:rsidR="005F4E3A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>Proveedor</w:t>
            </w:r>
            <w:r w:rsidR="00D9574C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 xml:space="preserve"> confirmará entonces la ampliación por escrito, sin modificación alguna de los precios cotizados.</w:t>
            </w:r>
          </w:p>
          <w:p w:rsidR="00312B1C" w:rsidRPr="00B24659" w:rsidRDefault="00312B1C" w:rsidP="00920245">
            <w:pPr>
              <w:tabs>
                <w:tab w:val="left" w:pos="940"/>
              </w:tabs>
              <w:jc w:val="both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</w:tc>
      </w:tr>
      <w:tr w:rsidR="002B425D" w:rsidRPr="00B24659" w:rsidTr="00312B1C">
        <w:trPr>
          <w:jc w:val="center"/>
        </w:trPr>
        <w:tc>
          <w:tcPr>
            <w:tcW w:w="2970" w:type="dxa"/>
          </w:tcPr>
          <w:p w:rsidR="002B425D" w:rsidRPr="00B24659" w:rsidRDefault="00D9574C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Cotizaciones parciales</w:t>
            </w:r>
            <w:r w:rsidR="00920245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</w:tcPr>
          <w:p w:rsidR="00A41A0A" w:rsidRPr="00B24659" w:rsidRDefault="00312B1C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>No</w:t>
            </w:r>
            <w:r w:rsidR="00D9574C" w:rsidRPr="00B24659">
              <w:rPr>
                <w:rFonts w:ascii="Century Gothic" w:hAnsi="Century Gothic"/>
                <w:sz w:val="16"/>
                <w:szCs w:val="16"/>
              </w:rPr>
              <w:t xml:space="preserve"> permitidas</w:t>
            </w:r>
          </w:p>
        </w:tc>
      </w:tr>
      <w:tr w:rsidR="007C1679" w:rsidRPr="007C1679" w:rsidTr="00312B1C">
        <w:trPr>
          <w:jc w:val="center"/>
        </w:trPr>
        <w:tc>
          <w:tcPr>
            <w:tcW w:w="2970" w:type="dxa"/>
          </w:tcPr>
          <w:p w:rsidR="007C1679" w:rsidRPr="00B24659" w:rsidRDefault="007C1679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es-ES_tradnl"/>
              </w:rPr>
              <w:t>Lugar de entrega de los elementos.</w:t>
            </w:r>
          </w:p>
        </w:tc>
        <w:tc>
          <w:tcPr>
            <w:tcW w:w="6210" w:type="dxa"/>
          </w:tcPr>
          <w:p w:rsidR="007C1679" w:rsidRPr="00B24659" w:rsidRDefault="007C1679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En el casco urbano del municipio de San Bernardo, en el departamento de Nariño.</w:t>
            </w:r>
            <w:bookmarkStart w:id="0" w:name="_GoBack"/>
            <w:bookmarkEnd w:id="0"/>
          </w:p>
        </w:tc>
      </w:tr>
      <w:tr w:rsidR="00F81C6C" w:rsidRPr="007C1679" w:rsidTr="00312B1C">
        <w:trPr>
          <w:jc w:val="center"/>
        </w:trPr>
        <w:tc>
          <w:tcPr>
            <w:tcW w:w="2970" w:type="dxa"/>
          </w:tcPr>
          <w:p w:rsidR="00F81C6C" w:rsidRPr="00B24659" w:rsidRDefault="00F81C6C" w:rsidP="00DB2AF2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F81C6C" w:rsidRPr="00B24659" w:rsidRDefault="00D96988" w:rsidP="00F851B5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Condiciones de pago</w:t>
            </w:r>
            <w:r w:rsidR="00920245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</w:tcPr>
          <w:p w:rsidR="00312B1C" w:rsidRPr="00B24659" w:rsidRDefault="00312B1C" w:rsidP="00312B1C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DA6C03" w:rsidRPr="00B24659" w:rsidRDefault="00312B1C" w:rsidP="00312B1C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Arial"/>
                <w:sz w:val="16"/>
                <w:szCs w:val="16"/>
                <w:lang w:val="es-CO"/>
              </w:rPr>
              <w:t>El valor adjudicado se efectuará mediante transferencia electrónica a la cuenta designada por el oferente, en un periodo de tiempo no mayor a 30 días después de radicada la factura en la oficina de UNODC.</w:t>
            </w:r>
          </w:p>
          <w:p w:rsidR="00F81C6C" w:rsidRPr="00B24659" w:rsidRDefault="00F81C6C" w:rsidP="00BA0DB5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3C2107" w:rsidRPr="007C1679" w:rsidTr="00312B1C">
        <w:trPr>
          <w:cantSplit/>
          <w:trHeight w:val="460"/>
          <w:jc w:val="center"/>
        </w:trPr>
        <w:tc>
          <w:tcPr>
            <w:tcW w:w="2970" w:type="dxa"/>
          </w:tcPr>
          <w:p w:rsidR="003C2107" w:rsidRPr="00B24659" w:rsidRDefault="003C2107" w:rsidP="007B5255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3C2107" w:rsidRPr="00B24659" w:rsidRDefault="002A09EC" w:rsidP="002A09EC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Indemnización fijada convencionalmente</w:t>
            </w:r>
            <w:r w:rsidR="00920245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</w:tcPr>
          <w:p w:rsidR="00312B1C" w:rsidRPr="00B24659" w:rsidRDefault="00312B1C" w:rsidP="00F851B5">
            <w:pPr>
              <w:pStyle w:val="Default"/>
              <w:rPr>
                <w:rFonts w:ascii="Century Gothic" w:hAnsi="Century Gothic" w:cs="Calibri"/>
                <w:iCs/>
                <w:color w:val="auto"/>
                <w:sz w:val="16"/>
                <w:szCs w:val="16"/>
                <w:lang w:val="es-ES_tradnl"/>
              </w:rPr>
            </w:pPr>
          </w:p>
          <w:p w:rsidR="00F851B5" w:rsidRPr="00B24659" w:rsidRDefault="00F851B5" w:rsidP="00F851B5">
            <w:pPr>
              <w:pStyle w:val="Default"/>
              <w:rPr>
                <w:rFonts w:ascii="Century Gothic" w:hAnsi="Century Gothic" w:cs="Calibri"/>
                <w:iCs/>
                <w:color w:val="auto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iCs/>
                <w:color w:val="auto"/>
                <w:sz w:val="16"/>
                <w:szCs w:val="16"/>
                <w:lang w:val="es-ES_tradnl"/>
              </w:rPr>
              <w:t xml:space="preserve">Se impondrán como sigue: </w:t>
            </w:r>
          </w:p>
          <w:p w:rsidR="00F851B5" w:rsidRPr="00B24659" w:rsidRDefault="00F851B5" w:rsidP="00F851B5">
            <w:pPr>
              <w:pStyle w:val="Default"/>
              <w:rPr>
                <w:rFonts w:ascii="Century Gothic" w:hAnsi="Century Gothic" w:cs="Calibri"/>
                <w:iCs/>
                <w:color w:val="auto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iCs/>
                <w:color w:val="auto"/>
                <w:sz w:val="16"/>
                <w:szCs w:val="16"/>
                <w:lang w:val="es-ES_tradnl"/>
              </w:rPr>
              <w:t xml:space="preserve">Porcentaje del precio del contrato por semana de retraso: 1,5% </w:t>
            </w:r>
          </w:p>
          <w:p w:rsidR="003C2107" w:rsidRPr="00B24659" w:rsidRDefault="00F851B5" w:rsidP="00F851B5">
            <w:pPr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>Nº máx. de semanas de retraso tras los cuales UNO</w:t>
            </w:r>
            <w:r w:rsidR="009D3DC8"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>DC puede cancelar el contrato: 2</w:t>
            </w:r>
            <w:r w:rsidRPr="00B24659">
              <w:rPr>
                <w:rFonts w:ascii="Century Gothic" w:hAnsi="Century Gothic" w:cs="Calibri"/>
                <w:iCs/>
                <w:sz w:val="16"/>
                <w:szCs w:val="16"/>
                <w:lang w:val="es-ES_tradnl"/>
              </w:rPr>
              <w:t>.</w:t>
            </w: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</w:t>
            </w:r>
          </w:p>
          <w:p w:rsidR="00312B1C" w:rsidRPr="00B24659" w:rsidRDefault="00312B1C" w:rsidP="00F851B5">
            <w:pPr>
              <w:rPr>
                <w:rFonts w:ascii="Century Gothic" w:hAnsi="Century Gothic" w:cs="Calibri"/>
                <w:sz w:val="16"/>
                <w:szCs w:val="16"/>
                <w:lang w:val="es-CO"/>
              </w:rPr>
            </w:pPr>
          </w:p>
        </w:tc>
      </w:tr>
      <w:tr w:rsidR="007A3F8D" w:rsidRPr="007C1679" w:rsidTr="00312B1C">
        <w:trPr>
          <w:cantSplit/>
          <w:trHeight w:val="460"/>
          <w:jc w:val="center"/>
        </w:trPr>
        <w:tc>
          <w:tcPr>
            <w:tcW w:w="2970" w:type="dxa"/>
          </w:tcPr>
          <w:p w:rsidR="007A3F8D" w:rsidRPr="00B24659" w:rsidRDefault="009A343A" w:rsidP="00542541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Criterios de evaluación</w:t>
            </w:r>
            <w:r w:rsidR="00CA7FF3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6210" w:type="dxa"/>
          </w:tcPr>
          <w:p w:rsidR="007A3F8D" w:rsidRPr="00B24659" w:rsidRDefault="00F3614B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 xml:space="preserve">Pleno cumplimiento de </w:t>
            </w:r>
            <w:r w:rsidR="002F3210" w:rsidRPr="00B24659">
              <w:rPr>
                <w:rFonts w:ascii="Century Gothic" w:hAnsi="Century Gothic"/>
                <w:sz w:val="16"/>
                <w:szCs w:val="16"/>
              </w:rPr>
              <w:t xml:space="preserve">los requisitos </w:t>
            </w:r>
            <w:r w:rsidR="00542541" w:rsidRPr="00B24659">
              <w:rPr>
                <w:rFonts w:ascii="Century Gothic" w:hAnsi="Century Gothic"/>
                <w:sz w:val="16"/>
                <w:szCs w:val="16"/>
              </w:rPr>
              <w:t xml:space="preserve">Técnicos </w:t>
            </w:r>
            <w:r w:rsidR="002F3210" w:rsidRPr="00B24659">
              <w:rPr>
                <w:rFonts w:ascii="Century Gothic" w:hAnsi="Century Gothic"/>
                <w:sz w:val="16"/>
                <w:szCs w:val="16"/>
              </w:rPr>
              <w:t>y precio más bajo</w:t>
            </w:r>
            <w:r w:rsidR="00D14202" w:rsidRPr="00B24659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15354B" w:rsidRPr="00B24659" w:rsidRDefault="002F3210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 xml:space="preserve">Plena aceptación de los Términos y Condiciones Generales de la </w:t>
            </w:r>
            <w:r w:rsidR="002952E1" w:rsidRPr="00B24659">
              <w:rPr>
                <w:rFonts w:ascii="Century Gothic" w:hAnsi="Century Gothic"/>
                <w:sz w:val="16"/>
                <w:szCs w:val="16"/>
              </w:rPr>
              <w:t>Orden de Servicio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o del Contrato</w:t>
            </w:r>
            <w:r w:rsidR="00D14202" w:rsidRPr="00B24659">
              <w:rPr>
                <w:rFonts w:ascii="Century Gothic" w:hAnsi="Century Gothic"/>
                <w:sz w:val="16"/>
                <w:szCs w:val="16"/>
              </w:rPr>
              <w:t>.</w:t>
            </w:r>
            <w:r w:rsidR="00EB769F" w:rsidRPr="00B2465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851B5" w:rsidRPr="00B24659" w:rsidRDefault="00542541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>Cump</w:t>
            </w:r>
            <w:r w:rsidR="00D14202" w:rsidRPr="00B24659">
              <w:rPr>
                <w:rFonts w:ascii="Century Gothic" w:hAnsi="Century Gothic"/>
                <w:sz w:val="16"/>
                <w:szCs w:val="16"/>
              </w:rPr>
              <w:t>limiento del plazo de ejecución.</w:t>
            </w:r>
          </w:p>
        </w:tc>
      </w:tr>
      <w:tr w:rsidR="00861BC2" w:rsidRPr="00B24659" w:rsidTr="00312B1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0" w:type="dxa"/>
            <w:shd w:val="clear" w:color="auto" w:fill="auto"/>
          </w:tcPr>
          <w:p w:rsidR="00861BC2" w:rsidRPr="00B24659" w:rsidRDefault="00572C14" w:rsidP="00112FDF">
            <w:pPr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  <w:t>UNODC</w:t>
            </w:r>
            <w:r w:rsidR="00861BC2" w:rsidRPr="00B24659"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  <w:t xml:space="preserve"> </w:t>
            </w:r>
            <w:r w:rsidR="00D96988" w:rsidRPr="00B24659"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  <w:t>adjudicará el contrato a</w:t>
            </w:r>
            <w:r w:rsidR="009965A6" w:rsidRPr="00B24659"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  <w:shd w:val="clear" w:color="auto" w:fill="auto"/>
          </w:tcPr>
          <w:p w:rsidR="009D30A1" w:rsidRPr="00B24659" w:rsidRDefault="00542541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>U</w:t>
            </w:r>
            <w:r w:rsidR="00A217B3" w:rsidRPr="00B24659">
              <w:rPr>
                <w:rFonts w:ascii="Century Gothic" w:hAnsi="Century Gothic"/>
                <w:sz w:val="16"/>
                <w:szCs w:val="16"/>
              </w:rPr>
              <w:t>n solo licitante</w:t>
            </w:r>
            <w:r w:rsidR="00CA7FF3" w:rsidRPr="00B24659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C800A0" w:rsidRPr="00B24659" w:rsidTr="00312B1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0" w:type="dxa"/>
            <w:shd w:val="clear" w:color="auto" w:fill="auto"/>
          </w:tcPr>
          <w:p w:rsidR="00C800A0" w:rsidRPr="00B24659" w:rsidRDefault="00D96988" w:rsidP="00D96988">
            <w:pPr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  <w:t>Tipo de contrato que deberá firmarse</w:t>
            </w:r>
            <w:r w:rsidR="00CA7FF3" w:rsidRPr="00B24659">
              <w:rPr>
                <w:rFonts w:ascii="Century Gothic" w:hAnsi="Century Gothic" w:cs="Calibri"/>
                <w:bCs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  <w:shd w:val="clear" w:color="auto" w:fill="auto"/>
          </w:tcPr>
          <w:p w:rsidR="00C800A0" w:rsidRPr="00B24659" w:rsidRDefault="002952E1" w:rsidP="00312B1C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 w:cs="Calibri"/>
                <w:snapToGrid w:val="0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 xml:space="preserve">Orden de </w:t>
            </w:r>
            <w:r w:rsidR="00312B1C" w:rsidRPr="00B24659">
              <w:rPr>
                <w:rFonts w:ascii="Century Gothic" w:hAnsi="Century Gothic"/>
                <w:sz w:val="16"/>
                <w:szCs w:val="16"/>
              </w:rPr>
              <w:t>Compra</w:t>
            </w:r>
            <w:r w:rsidRPr="00B24659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0C5E72" w:rsidRPr="007C1679" w:rsidTr="00312B1C">
        <w:trPr>
          <w:jc w:val="center"/>
        </w:trPr>
        <w:tc>
          <w:tcPr>
            <w:tcW w:w="2970" w:type="dxa"/>
          </w:tcPr>
          <w:p w:rsidR="000C5E72" w:rsidRPr="00B24659" w:rsidRDefault="00217F20" w:rsidP="00217F20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Condiciones especiales del</w:t>
            </w:r>
            <w:r w:rsidR="00E623E8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contrato</w:t>
            </w:r>
            <w:r w:rsidR="00CA7FF3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</w:tcPr>
          <w:p w:rsidR="000C5E72" w:rsidRDefault="00660F26" w:rsidP="00707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24659">
              <w:rPr>
                <w:rFonts w:ascii="Century Gothic" w:hAnsi="Century Gothic"/>
                <w:b/>
                <w:sz w:val="16"/>
                <w:szCs w:val="16"/>
              </w:rPr>
              <w:t>Garantia</w:t>
            </w:r>
            <w:proofErr w:type="spellEnd"/>
            <w:r w:rsidRPr="00B24659">
              <w:rPr>
                <w:rFonts w:ascii="Century Gothic" w:hAnsi="Century Gothic"/>
                <w:b/>
                <w:sz w:val="16"/>
                <w:szCs w:val="16"/>
              </w:rPr>
              <w:t xml:space="preserve"> de cumplimiento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por el 20% del valor total del contrato</w:t>
            </w:r>
            <w:r w:rsidR="00F20A32" w:rsidRPr="00B24659">
              <w:rPr>
                <w:rFonts w:ascii="Century Gothic" w:hAnsi="Century Gothic"/>
                <w:sz w:val="16"/>
                <w:szCs w:val="16"/>
              </w:rPr>
              <w:t>.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Esta garantía, deberá tener vigencia hasta el cumplimiento definitivo de todas las obligaciones </w:t>
            </w:r>
            <w:r w:rsidR="00433C93" w:rsidRPr="00B24659">
              <w:rPr>
                <w:rFonts w:ascii="Century Gothic" w:hAnsi="Century Gothic"/>
                <w:sz w:val="16"/>
                <w:szCs w:val="16"/>
              </w:rPr>
              <w:t xml:space="preserve">emanadas de este contrato y </w:t>
            </w:r>
            <w:r w:rsidR="00707D2E">
              <w:rPr>
                <w:rFonts w:ascii="Century Gothic" w:hAnsi="Century Gothic"/>
                <w:sz w:val="16"/>
                <w:szCs w:val="16"/>
              </w:rPr>
              <w:t>tres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="00707D2E">
              <w:rPr>
                <w:rFonts w:ascii="Century Gothic" w:hAnsi="Century Gothic"/>
                <w:sz w:val="16"/>
                <w:szCs w:val="16"/>
              </w:rPr>
              <w:t>3</w:t>
            </w:r>
            <w:r w:rsidRPr="00B24659">
              <w:rPr>
                <w:rFonts w:ascii="Century Gothic" w:hAnsi="Century Gothic"/>
                <w:sz w:val="16"/>
                <w:szCs w:val="16"/>
              </w:rPr>
              <w:t>) meses más.</w:t>
            </w:r>
          </w:p>
          <w:p w:rsidR="00707D2E" w:rsidRPr="00707D2E" w:rsidRDefault="00707D2E" w:rsidP="00707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Garantía de Calidad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por el 30% del valor total del contrato. 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Esta garantía, deberá tener vigencia hasta el cumplimiento definitivo de </w:t>
            </w:r>
            <w:r w:rsidRPr="00B24659">
              <w:rPr>
                <w:rFonts w:ascii="Century Gothic" w:hAnsi="Century Gothic"/>
                <w:sz w:val="16"/>
                <w:szCs w:val="16"/>
              </w:rPr>
              <w:lastRenderedPageBreak/>
              <w:t xml:space="preserve">todas las obligaciones emanadas de este contrato y </w:t>
            </w:r>
            <w:r>
              <w:rPr>
                <w:rFonts w:ascii="Century Gothic" w:hAnsi="Century Gothic"/>
                <w:sz w:val="16"/>
                <w:szCs w:val="16"/>
              </w:rPr>
              <w:t>tres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B24659">
              <w:rPr>
                <w:rFonts w:ascii="Century Gothic" w:hAnsi="Century Gothic"/>
                <w:sz w:val="16"/>
                <w:szCs w:val="16"/>
              </w:rPr>
              <w:t>) meses más.</w:t>
            </w:r>
          </w:p>
        </w:tc>
      </w:tr>
      <w:tr w:rsidR="006309DA" w:rsidRPr="007C1679" w:rsidTr="00312B1C">
        <w:trPr>
          <w:jc w:val="center"/>
        </w:trPr>
        <w:tc>
          <w:tcPr>
            <w:tcW w:w="2970" w:type="dxa"/>
          </w:tcPr>
          <w:p w:rsidR="006309DA" w:rsidRPr="00B24659" w:rsidDel="00163CAD" w:rsidRDefault="00217F20" w:rsidP="00217F20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lastRenderedPageBreak/>
              <w:t>Condiciones para la liberación del pago</w:t>
            </w:r>
            <w:r w:rsidR="00CA7FF3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</w:tcPr>
          <w:p w:rsidR="006309DA" w:rsidRPr="00B24659" w:rsidDel="00307F3E" w:rsidRDefault="00BD7A94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/>
                <w:sz w:val="16"/>
                <w:szCs w:val="16"/>
              </w:rPr>
              <w:t>Aceptación</w:t>
            </w:r>
            <w:r w:rsidR="009A343A" w:rsidRPr="00B24659">
              <w:rPr>
                <w:rFonts w:ascii="Century Gothic" w:hAnsi="Century Gothic"/>
                <w:sz w:val="16"/>
                <w:szCs w:val="16"/>
              </w:rPr>
              <w:t xml:space="preserve"> por escrito de los </w:t>
            </w:r>
            <w:r w:rsidR="00A64DB0" w:rsidRPr="00B24659">
              <w:rPr>
                <w:rFonts w:ascii="Century Gothic" w:hAnsi="Century Gothic"/>
                <w:sz w:val="16"/>
                <w:szCs w:val="16"/>
              </w:rPr>
              <w:t>servicios prestados</w:t>
            </w:r>
            <w:r w:rsidR="009A343A" w:rsidRPr="00B24659">
              <w:rPr>
                <w:rFonts w:ascii="Century Gothic" w:hAnsi="Century Gothic"/>
                <w:sz w:val="16"/>
                <w:szCs w:val="16"/>
              </w:rPr>
              <w:t xml:space="preserve">, basada en el cumplimiento completo con los requisitos de la </w:t>
            </w:r>
            <w:r w:rsidR="00CA7FF3" w:rsidRPr="00B24659">
              <w:rPr>
                <w:rFonts w:ascii="Century Gothic" w:hAnsi="Century Gothic"/>
                <w:sz w:val="16"/>
                <w:szCs w:val="16"/>
              </w:rPr>
              <w:t>SD</w:t>
            </w:r>
            <w:r w:rsidR="00575082" w:rsidRPr="00B24659">
              <w:rPr>
                <w:rFonts w:ascii="Century Gothic" w:hAnsi="Century Gothic"/>
                <w:sz w:val="16"/>
                <w:szCs w:val="16"/>
              </w:rPr>
              <w:t>C</w:t>
            </w:r>
            <w:r w:rsidR="00CA7FF3" w:rsidRPr="00B24659">
              <w:rPr>
                <w:rFonts w:ascii="Century Gothic" w:hAnsi="Century Gothic"/>
                <w:sz w:val="16"/>
                <w:szCs w:val="16"/>
              </w:rPr>
              <w:t>.</w:t>
            </w:r>
            <w:r w:rsidR="006309DA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836CF5" w:rsidRPr="007C1679" w:rsidTr="00312B1C">
        <w:trPr>
          <w:cantSplit/>
          <w:trHeight w:val="460"/>
          <w:jc w:val="center"/>
        </w:trPr>
        <w:tc>
          <w:tcPr>
            <w:tcW w:w="2970" w:type="dxa"/>
          </w:tcPr>
          <w:p w:rsidR="00836CF5" w:rsidRPr="00B24659" w:rsidRDefault="00575082" w:rsidP="00FD0420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Anexos a esta</w:t>
            </w:r>
            <w:r w:rsidR="00D03B98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  <w:r w:rsidR="00CA7FF3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SD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C</w:t>
            </w:r>
            <w:r w:rsidR="00CA7FF3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210" w:type="dxa"/>
          </w:tcPr>
          <w:p w:rsidR="00A41A0A" w:rsidRPr="00B24659" w:rsidRDefault="007C12E3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24659">
              <w:rPr>
                <w:rFonts w:ascii="Century Gothic" w:hAnsi="Century Gothic"/>
                <w:b/>
                <w:sz w:val="16"/>
                <w:szCs w:val="16"/>
              </w:rPr>
              <w:t>Formato A - Presentación de Cotización y Lista de Precios</w:t>
            </w:r>
            <w:r w:rsidRPr="00B2465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41A0A" w:rsidRPr="00B24659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BD7A94" w:rsidRPr="00B24659">
              <w:rPr>
                <w:rFonts w:ascii="Century Gothic" w:hAnsi="Century Gothic"/>
                <w:b/>
                <w:sz w:val="16"/>
                <w:szCs w:val="16"/>
              </w:rPr>
              <w:t>Anexo</w:t>
            </w:r>
            <w:r w:rsidR="00A41A0A" w:rsidRPr="00B24659">
              <w:rPr>
                <w:rFonts w:ascii="Century Gothic" w:hAnsi="Century Gothic"/>
                <w:b/>
                <w:sz w:val="16"/>
                <w:szCs w:val="16"/>
              </w:rPr>
              <w:t xml:space="preserve"> 1)</w:t>
            </w:r>
            <w:r w:rsidR="00186C0D" w:rsidRPr="00B24659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F0ECD" w:rsidRPr="00B24659" w:rsidRDefault="005E1CBD" w:rsidP="00FF0ECD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CO"/>
              </w:rPr>
              <w:t>Formato</w:t>
            </w:r>
            <w:r w:rsidR="003A1829" w:rsidRPr="00B24659">
              <w:rPr>
                <w:rFonts w:ascii="Century Gothic" w:hAnsi="Century Gothic"/>
                <w:b/>
                <w:sz w:val="16"/>
                <w:szCs w:val="16"/>
                <w:lang w:val="es-CO"/>
              </w:rPr>
              <w:t xml:space="preserve"> </w:t>
            </w:r>
            <w:r w:rsidR="001409C1">
              <w:rPr>
                <w:rFonts w:ascii="Century Gothic" w:hAnsi="Century Gothic"/>
                <w:b/>
                <w:sz w:val="16"/>
                <w:szCs w:val="16"/>
                <w:lang w:val="es-CO"/>
              </w:rPr>
              <w:t>B</w:t>
            </w:r>
            <w:r w:rsidR="003A1829" w:rsidRPr="00B24659">
              <w:rPr>
                <w:rFonts w:ascii="Century Gothic" w:hAnsi="Century Gothic"/>
                <w:b/>
                <w:sz w:val="16"/>
                <w:szCs w:val="16"/>
                <w:lang w:val="es-CO"/>
              </w:rPr>
              <w:t xml:space="preserve"> – </w:t>
            </w:r>
            <w:proofErr w:type="spellStart"/>
            <w:r w:rsidR="008935D7" w:rsidRPr="00B2465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>Informacion</w:t>
            </w:r>
            <w:proofErr w:type="spellEnd"/>
            <w:r w:rsidR="008935D7" w:rsidRPr="00B24659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de la firma.</w:t>
            </w:r>
          </w:p>
          <w:p w:rsidR="00BA4792" w:rsidRPr="00B24659" w:rsidRDefault="009A343A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24659">
              <w:rPr>
                <w:rFonts w:ascii="Century Gothic" w:hAnsi="Century Gothic"/>
                <w:b/>
                <w:sz w:val="16"/>
                <w:szCs w:val="16"/>
              </w:rPr>
              <w:t>Condiciones Generales</w:t>
            </w:r>
            <w:r w:rsidR="00A41A0A" w:rsidRPr="00B24659">
              <w:rPr>
                <w:rFonts w:ascii="Century Gothic" w:hAnsi="Century Gothic"/>
                <w:b/>
                <w:sz w:val="16"/>
                <w:szCs w:val="16"/>
              </w:rPr>
              <w:t xml:space="preserve"> / </w:t>
            </w:r>
            <w:r w:rsidRPr="00B24659">
              <w:rPr>
                <w:rFonts w:ascii="Century Gothic" w:hAnsi="Century Gothic"/>
                <w:b/>
                <w:sz w:val="16"/>
                <w:szCs w:val="16"/>
              </w:rPr>
              <w:t>Condiciones Especiales (</w:t>
            </w:r>
            <w:r w:rsidR="00BD7A94" w:rsidRPr="00B24659">
              <w:rPr>
                <w:rFonts w:ascii="Century Gothic" w:hAnsi="Century Gothic"/>
                <w:b/>
                <w:sz w:val="16"/>
                <w:szCs w:val="16"/>
              </w:rPr>
              <w:t>Anexo</w:t>
            </w:r>
            <w:r w:rsidR="007C12E3" w:rsidRPr="00B24659">
              <w:rPr>
                <w:rFonts w:ascii="Century Gothic" w:hAnsi="Century Gothic"/>
                <w:b/>
                <w:sz w:val="16"/>
                <w:szCs w:val="16"/>
              </w:rPr>
              <w:t xml:space="preserve"> 2</w:t>
            </w:r>
            <w:r w:rsidR="00836CF5" w:rsidRPr="00B24659">
              <w:rPr>
                <w:rFonts w:ascii="Century Gothic" w:hAnsi="Century Gothic"/>
                <w:b/>
                <w:sz w:val="16"/>
                <w:szCs w:val="16"/>
              </w:rPr>
              <w:t>).</w:t>
            </w:r>
            <w:r w:rsidR="00E623E8" w:rsidRPr="00B2465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E926AB" w:rsidRPr="00B24659" w:rsidRDefault="00371F4E" w:rsidP="00681D2E">
            <w:pPr>
              <w:pStyle w:val="MediumGrid1-Accent21"/>
              <w:numPr>
                <w:ilvl w:val="0"/>
                <w:numId w:val="2"/>
              </w:numPr>
              <w:ind w:left="428" w:hanging="425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24659">
              <w:rPr>
                <w:rFonts w:ascii="Century Gothic" w:hAnsi="Century Gothic"/>
                <w:b/>
                <w:sz w:val="16"/>
                <w:szCs w:val="16"/>
              </w:rPr>
              <w:t>Modelo Orden de Servicio</w:t>
            </w:r>
            <w:r w:rsidR="007C12E3" w:rsidRPr="00B24659">
              <w:rPr>
                <w:rFonts w:ascii="Century Gothic" w:hAnsi="Century Gothic"/>
                <w:b/>
                <w:sz w:val="16"/>
                <w:szCs w:val="16"/>
              </w:rPr>
              <w:t xml:space="preserve"> (Anexo 3). </w:t>
            </w:r>
          </w:p>
          <w:p w:rsidR="00BA4792" w:rsidRPr="00B24659" w:rsidRDefault="00BA4792" w:rsidP="00BA4792">
            <w:pPr>
              <w:ind w:left="-18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</w:p>
          <w:p w:rsidR="00836CF5" w:rsidRPr="00B24659" w:rsidRDefault="00FC1071" w:rsidP="00FC1071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La no aceptación de los Términos y Condiciones Generales será motivo de descalificación </w:t>
            </w:r>
            <w:r w:rsidR="00F117CB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de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este p</w:t>
            </w:r>
            <w:r w:rsidR="009965A6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roceso de adquisición. </w:t>
            </w:r>
          </w:p>
        </w:tc>
      </w:tr>
      <w:tr w:rsidR="00CC4744" w:rsidRPr="007C1679" w:rsidTr="00312B1C">
        <w:trPr>
          <w:cantSplit/>
          <w:trHeight w:val="460"/>
          <w:jc w:val="center"/>
        </w:trPr>
        <w:tc>
          <w:tcPr>
            <w:tcW w:w="2970" w:type="dxa"/>
          </w:tcPr>
          <w:p w:rsidR="00CC4744" w:rsidRPr="00B24659" w:rsidRDefault="00FC1071" w:rsidP="002E6B9E">
            <w:pPr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Persona de contacto para </w:t>
            </w:r>
            <w:r w:rsidR="00481A69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todo tipo de 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información </w:t>
            </w:r>
            <w:r w:rsidR="007D0C44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(</w:t>
            </w:r>
            <w:r w:rsidR="00481A69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P</w:t>
            </w:r>
            <w:r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reguntas por escrito</w:t>
            </w:r>
            <w:r w:rsidR="00481A69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únicamente</w:t>
            </w:r>
            <w:r w:rsidR="007D0C44" w:rsidRPr="00B24659">
              <w:rPr>
                <w:rFonts w:ascii="Century Gothic" w:hAnsi="Century Gothic" w:cs="Calibri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210" w:type="dxa"/>
          </w:tcPr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Los oferentes podrán solicitar </w:t>
            </w:r>
            <w:r w:rsidR="003A1829" w:rsidRPr="00B24659">
              <w:rPr>
                <w:rFonts w:ascii="Century Gothic" w:hAnsi="Century Gothic"/>
                <w:sz w:val="16"/>
                <w:szCs w:val="16"/>
                <w:lang w:val="es-CO"/>
              </w:rPr>
              <w:t>a UNODC</w:t>
            </w: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aclaraciones (únicamente por escrito) sobre cualquiera de los documentos de la SDC hasta el día </w:t>
            </w:r>
            <w:r w:rsidR="001409C1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30</w:t>
            </w:r>
            <w:r w:rsidR="00371F4E" w:rsidRPr="00B24659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 xml:space="preserve"> de </w:t>
            </w:r>
            <w:r w:rsidR="001409C1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>julio</w:t>
            </w:r>
            <w:r w:rsidRPr="00B24659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 xml:space="preserve"> de 2014. </w:t>
            </w: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Las solicitudes de aclaración deben dirigirse </w:t>
            </w:r>
            <w:r w:rsidRPr="00B24659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 xml:space="preserve">únicamente </w:t>
            </w: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a: </w:t>
            </w: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316912" w:rsidRPr="00B24659" w:rsidRDefault="003A1829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>Oficina</w:t>
            </w:r>
            <w:r w:rsidR="00316912"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de las Naciones Unidas </w:t>
            </w: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>contra la Droga y el Delito</w:t>
            </w:r>
            <w:r w:rsidR="00316912"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</w:t>
            </w: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proofErr w:type="spellStart"/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>Atn</w:t>
            </w:r>
            <w:proofErr w:type="spellEnd"/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. : </w:t>
            </w:r>
            <w:r w:rsidR="003A1829" w:rsidRPr="00B24659">
              <w:rPr>
                <w:rFonts w:ascii="Century Gothic" w:hAnsi="Century Gothic"/>
                <w:sz w:val="16"/>
                <w:szCs w:val="16"/>
                <w:lang w:val="es-CO"/>
              </w:rPr>
              <w:t>Unidad de</w:t>
            </w: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Adquisiciones</w:t>
            </w: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Bogotá D.C. Colombia </w:t>
            </w: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e-mail: </w:t>
            </w:r>
            <w:hyperlink r:id="rId15" w:history="1">
              <w:r w:rsidR="003A1829" w:rsidRPr="00B24659">
                <w:rPr>
                  <w:rStyle w:val="Hipervnculo"/>
                  <w:rFonts w:ascii="Century Gothic" w:hAnsi="Century Gothic"/>
                  <w:sz w:val="16"/>
                  <w:szCs w:val="16"/>
                  <w:lang w:val="es-CO"/>
                </w:rPr>
                <w:t>adquisiciones.col@unodc.org</w:t>
              </w:r>
            </w:hyperlink>
            <w:r w:rsidR="003A1829"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, </w:t>
            </w: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</w:t>
            </w: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>Proceso</w:t>
            </w:r>
            <w:r w:rsidR="00186C0D" w:rsidRPr="00B24659">
              <w:rPr>
                <w:rFonts w:ascii="Century Gothic" w:hAnsi="Century Gothic"/>
                <w:color w:val="auto"/>
                <w:sz w:val="16"/>
                <w:szCs w:val="16"/>
                <w:lang w:val="es-CO"/>
              </w:rPr>
              <w:t xml:space="preserve">: SDC </w:t>
            </w:r>
            <w:r w:rsidR="001409C1">
              <w:rPr>
                <w:rFonts w:ascii="Century Gothic" w:hAnsi="Century Gothic"/>
                <w:color w:val="auto"/>
                <w:sz w:val="16"/>
                <w:szCs w:val="16"/>
                <w:lang w:val="es-CO"/>
              </w:rPr>
              <w:t>790</w:t>
            </w:r>
            <w:r w:rsidR="00186C0D" w:rsidRPr="00B24659">
              <w:rPr>
                <w:rFonts w:ascii="Century Gothic" w:hAnsi="Century Gothic"/>
                <w:color w:val="auto"/>
                <w:sz w:val="16"/>
                <w:szCs w:val="16"/>
                <w:lang w:val="es-CO"/>
              </w:rPr>
              <w:t xml:space="preserve"> </w:t>
            </w:r>
            <w:r w:rsidR="003A1829" w:rsidRPr="00B24659">
              <w:rPr>
                <w:rFonts w:ascii="Century Gothic" w:hAnsi="Century Gothic"/>
                <w:color w:val="auto"/>
                <w:sz w:val="16"/>
                <w:szCs w:val="16"/>
                <w:lang w:val="es-CO"/>
              </w:rPr>
              <w:t>2014</w:t>
            </w:r>
            <w:r w:rsidRPr="00B24659">
              <w:rPr>
                <w:rFonts w:ascii="Century Gothic" w:hAnsi="Century Gothic"/>
                <w:color w:val="auto"/>
                <w:sz w:val="16"/>
                <w:szCs w:val="16"/>
                <w:lang w:val="es-CO"/>
              </w:rPr>
              <w:t xml:space="preserve"> </w:t>
            </w:r>
          </w:p>
          <w:p w:rsidR="00316912" w:rsidRPr="00B24659" w:rsidRDefault="00186C0D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Asunto: </w:t>
            </w:r>
            <w:r w:rsidR="005B2929" w:rsidRPr="00B24659">
              <w:rPr>
                <w:rFonts w:ascii="Century Gothic" w:hAnsi="Century Gothic" w:cs="Calibri"/>
                <w:b/>
                <w:sz w:val="16"/>
                <w:szCs w:val="16"/>
                <w:u w:val="single"/>
                <w:lang w:val="es-ES_tradnl"/>
              </w:rPr>
              <w:t>“</w:t>
            </w:r>
            <w:r w:rsidR="001409C1" w:rsidRPr="001409C1">
              <w:rPr>
                <w:rFonts w:ascii="Century Gothic" w:hAnsi="Century Gothic" w:cs="Calibri"/>
                <w:b/>
                <w:sz w:val="16"/>
                <w:szCs w:val="16"/>
                <w:u w:val="single"/>
                <w:lang w:val="es-ES_tradnl"/>
              </w:rPr>
              <w:t>Adquirir fertilizantes, como mecanismo de fortalecimiento de la producción y comercialización de tomate</w:t>
            </w:r>
            <w:r w:rsidR="005B2929" w:rsidRPr="00B24659">
              <w:rPr>
                <w:rFonts w:ascii="Century Gothic" w:hAnsi="Century Gothic" w:cs="Calibri"/>
                <w:b/>
                <w:sz w:val="16"/>
                <w:szCs w:val="16"/>
                <w:u w:val="single"/>
                <w:lang w:val="es-ES_tradnl"/>
              </w:rPr>
              <w:t>”</w:t>
            </w: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</w:pPr>
          </w:p>
          <w:p w:rsidR="00316912" w:rsidRPr="00B24659" w:rsidRDefault="00316912" w:rsidP="00316912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b/>
                <w:bCs/>
                <w:sz w:val="16"/>
                <w:szCs w:val="16"/>
                <w:lang w:val="es-CO"/>
              </w:rPr>
              <w:t xml:space="preserve">Nota: No se atenderán consultas anónimas, ni verbales. </w:t>
            </w:r>
          </w:p>
          <w:p w:rsidR="00316912" w:rsidRPr="00B24659" w:rsidRDefault="00316912" w:rsidP="00316912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1B6A" w:rsidRPr="00B24659" w:rsidRDefault="00316912" w:rsidP="003A1829">
            <w:pPr>
              <w:jc w:val="both"/>
              <w:rPr>
                <w:rFonts w:ascii="Century Gothic" w:hAnsi="Century Gothic" w:cs="Calibri"/>
                <w:snapToGrid w:val="0"/>
                <w:sz w:val="16"/>
                <w:szCs w:val="16"/>
                <w:lang w:val="es-CO"/>
              </w:rPr>
            </w:pP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>Cualquier retraso en la respuesta de</w:t>
            </w:r>
            <w:r w:rsidR="003A1829"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UNODC</w:t>
            </w: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no podrá ser esgrimido como motivo para ampliar el plazo de p</w:t>
            </w:r>
            <w:r w:rsidR="003A1829" w:rsidRPr="00B24659">
              <w:rPr>
                <w:rFonts w:ascii="Century Gothic" w:hAnsi="Century Gothic"/>
                <w:sz w:val="16"/>
                <w:szCs w:val="16"/>
                <w:lang w:val="es-CO"/>
              </w:rPr>
              <w:t>resentación, a menos que UNODC</w:t>
            </w:r>
            <w:r w:rsidRPr="00B24659">
              <w:rPr>
                <w:rFonts w:ascii="Century Gothic" w:hAnsi="Century Gothic"/>
                <w:sz w:val="16"/>
                <w:szCs w:val="16"/>
                <w:lang w:val="es-CO"/>
              </w:rPr>
              <w:t xml:space="preserve"> decida que estima necesaria dicha ampliación y comunique un nuevo plazo límite a los solicitantes. </w:t>
            </w:r>
          </w:p>
        </w:tc>
      </w:tr>
    </w:tbl>
    <w:p w:rsidR="002B425D" w:rsidRPr="00B24659" w:rsidRDefault="002B425D" w:rsidP="00572C14">
      <w:pPr>
        <w:jc w:val="both"/>
        <w:rPr>
          <w:rFonts w:ascii="Century Gothic" w:hAnsi="Century Gothic" w:cs="Calibri"/>
          <w:sz w:val="16"/>
          <w:szCs w:val="16"/>
          <w:lang w:val="es-ES_tradnl"/>
        </w:rPr>
      </w:pPr>
    </w:p>
    <w:p w:rsidR="00316912" w:rsidRPr="00B24659" w:rsidRDefault="00316912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Se revisarán los bienes </w:t>
      </w:r>
      <w:r w:rsidR="00FB75CF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y servicios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ofrecidos basándose en su integridad y en la conformidad de la cotización con las especificaciones mínimas descritas supra y cualquier otro anexo que facilite detalles de los requisitos de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UNODC.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Será seleccionada la cotización que cumpla con todas las especificaciones y requisit</w:t>
      </w:r>
      <w:r w:rsidR="00186C0D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os y ofrezca el precio más bajo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. Cualquier oferta que no cumpla con los requisitos será </w:t>
      </w:r>
      <w:r w:rsidRPr="00B24659">
        <w:rPr>
          <w:rFonts w:ascii="Century Gothic" w:hAnsi="Century Gothic" w:cs="Calibri"/>
          <w:b/>
          <w:color w:val="000000"/>
          <w:sz w:val="16"/>
          <w:szCs w:val="16"/>
          <w:lang w:val="es-CO"/>
        </w:rPr>
        <w:t>rechazada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. </w:t>
      </w:r>
    </w:p>
    <w:p w:rsidR="00572C14" w:rsidRPr="00B24659" w:rsidRDefault="00572C14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572C14" w:rsidRPr="00B24659" w:rsidRDefault="00316912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En caso de discrepancia entre el precio unitario y el precio total (que se obtiene al multiplicar el precio unitario por la cantidad), 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procederá a un nuevo cálculo, y el precio unitario prevalecerá y el precio total será corregido. Si el proveedor no aceptara el precio final sobre la base del nuevo cálculo de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UNODC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y su corrección de los errores, su oferta será </w:t>
      </w:r>
      <w:r w:rsidRPr="00B24659">
        <w:rPr>
          <w:rFonts w:ascii="Century Gothic" w:hAnsi="Century Gothic" w:cs="Calibri"/>
          <w:b/>
          <w:color w:val="000000"/>
          <w:sz w:val="16"/>
          <w:szCs w:val="16"/>
          <w:lang w:val="es-CO"/>
        </w:rPr>
        <w:t>rechazada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.</w:t>
      </w:r>
    </w:p>
    <w:p w:rsidR="00316912" w:rsidRPr="00B24659" w:rsidRDefault="00316912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</w:t>
      </w:r>
    </w:p>
    <w:p w:rsidR="00572C14" w:rsidRPr="00B24659" w:rsidRDefault="00316912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Una vez que 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haya identificado la oferta de precio más baja, 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se reserva el derecho de adjudicar el contrato basándose únicamente en los precios de los bienes, cuando el costo de transporte (flete y seguro) resulte ser mayor que el propio costo estimado por 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con su propio transportista y proveedor de seguros.</w:t>
      </w:r>
    </w:p>
    <w:p w:rsidR="00316912" w:rsidRPr="00B24659" w:rsidRDefault="00316912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</w:t>
      </w:r>
    </w:p>
    <w:p w:rsidR="00316912" w:rsidRPr="00B24659" w:rsidRDefault="00316912" w:rsidP="00572C14">
      <w:pPr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En ningún momento de la vigencia de la cotización aceptará 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una variación de precios debida a aumentos, inflación, fluctuación de los tipos de cambio o cualquier otro factor de mercado, una vez haya recibido la oferta. En el momento de la adjudicación del Contrato u Orden de Compra, 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se reserva el derecho de modificar (aumentar o disminuir) la cantidad de servicios y/o bienes, hasta un máximo del veinticinco por ciento (25%) de la oferta total, sin ningún cambio en el precio unitario o en los términos y condiciones.</w:t>
      </w:r>
    </w:p>
    <w:p w:rsidR="00316912" w:rsidRPr="00B24659" w:rsidRDefault="00316912" w:rsidP="00316912">
      <w:pPr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316912" w:rsidRPr="00B24659" w:rsidRDefault="00FB75CF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Toda </w:t>
      </w:r>
      <w:r w:rsidR="00186C0D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O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rden de </w:t>
      </w:r>
      <w:r w:rsidR="00186C0D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Compra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resultante de esta </w:t>
      </w:r>
      <w:r w:rsidR="00186C0D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SDC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estará sujeta a los Términos y Condiciones Generales que se adjuntan a la presente. El mero acto de presentación de una oferta implica que el vendedor acepta sin cuestionamiento alguno los Términos y Condiciones Generales de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UNODC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q</w:t>
      </w:r>
      <w:r w:rsidR="00186C0D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ue se adjuntan como Anexo 2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. </w:t>
      </w:r>
    </w:p>
    <w:p w:rsidR="00572C14" w:rsidRPr="00B24659" w:rsidRDefault="00572C14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316912" w:rsidRPr="00B24659" w:rsidRDefault="00572C14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no está obligado a aceptar ninguna oferta, ni a adjudicar ningún contrato u orden de compra, ni se hace responsable por cualquier costo relacionado con la preparación y presentación de un presupuesto por parte de un suministrador, con independencia del resultado o la forma de llevar a cabo el proceso de selección. </w:t>
      </w:r>
    </w:p>
    <w:p w:rsidR="00186C0D" w:rsidRPr="00B24659" w:rsidRDefault="00316912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Sírvase tener en cuenta que el procedimiento establecido por 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para la recepción de reclamos de sus proveedores tiene por objeto ofrecer una oportunidad de apelación a las personas o empresas a las que no se haya adjudicado una orden de compra o un contrato en un proceso de contratación competitivo. En caso de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lastRenderedPageBreak/>
        <w:t>que usted considere que no ha sido tratado(a) con equidad, puede encontrar información detallada sobre los procedimientos de reclamo por parte de los proveedores en el siguiente enlace:</w:t>
      </w:r>
      <w:r w:rsidR="00186C0D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</w:t>
      </w:r>
    </w:p>
    <w:p w:rsidR="00C215AF" w:rsidRPr="00B24659" w:rsidRDefault="007C1679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hyperlink r:id="rId16" w:history="1">
        <w:r w:rsidR="00186C0D" w:rsidRPr="00B24659">
          <w:rPr>
            <w:rStyle w:val="Hipervnculo"/>
            <w:rFonts w:ascii="Century Gothic" w:hAnsi="Century Gothic" w:cs="Calibri"/>
            <w:sz w:val="16"/>
            <w:szCs w:val="16"/>
            <w:lang w:val="es-CO"/>
          </w:rPr>
          <w:t>http://www.undp.org/procurement/protest.shtml</w:t>
        </w:r>
      </w:hyperlink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. 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insta a todos los potenciales proveedores de servicios a evitar y prevenir los conflictos de intereses, informando a</w:t>
      </w:r>
      <w:r w:rsidR="00572C14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UNODC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si ellos o cualquiera de sus afiliados o miembros de su personal han participado en la preparación de los requisitos, el diseño, las especificaciones, los presupuestos o cualquier otra información utilizada en esta </w:t>
      </w:r>
      <w:proofErr w:type="spellStart"/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SdC</w:t>
      </w:r>
      <w:proofErr w:type="spellEnd"/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.</w:t>
      </w:r>
    </w:p>
    <w:p w:rsidR="00316912" w:rsidRPr="00B24659" w:rsidRDefault="00316912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</w:t>
      </w:r>
    </w:p>
    <w:p w:rsidR="000871FE" w:rsidRPr="00B24659" w:rsidRDefault="00572C14" w:rsidP="00572C14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practica una política de tolerancia cero ante el fraude y otras prácticas prohibidas, y está resuelto a identificar y abordar todos los actos y prácticas de este tipo contra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 o contra terceros implicados en las actividades de </w:t>
      </w:r>
      <w:r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UNODC</w:t>
      </w:r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 xml:space="preserve">. Asimismo, espera que sus proveedores se adhieran al Código de Conducta de los Contratistas de las Naciones Unidas, que se puede consultar en el siguiente enlace: </w:t>
      </w:r>
      <w:hyperlink r:id="rId17" w:history="1">
        <w:r w:rsidR="00186C0D" w:rsidRPr="00B24659">
          <w:rPr>
            <w:rStyle w:val="Hipervnculo"/>
            <w:rFonts w:ascii="Century Gothic" w:hAnsi="Century Gothic" w:cs="Calibri"/>
            <w:sz w:val="16"/>
            <w:szCs w:val="16"/>
            <w:lang w:val="es-CO"/>
          </w:rPr>
          <w:t>http://www.un.org/depts/ptd/pdf/conduct_spanish.pdf</w:t>
        </w:r>
      </w:hyperlink>
      <w:r w:rsidR="00316912" w:rsidRPr="00B24659">
        <w:rPr>
          <w:rFonts w:ascii="Century Gothic" w:hAnsi="Century Gothic" w:cs="Calibri"/>
          <w:color w:val="000000"/>
          <w:sz w:val="16"/>
          <w:szCs w:val="16"/>
          <w:lang w:val="es-CO"/>
        </w:rPr>
        <w:t>. Le agradecemos su atención y quedamos a la espera de recibir su cotización.</w:t>
      </w:r>
    </w:p>
    <w:p w:rsidR="002E6B9E" w:rsidRPr="00B24659" w:rsidRDefault="002E6B9E" w:rsidP="000871FE">
      <w:pPr>
        <w:ind w:left="5040" w:firstLine="720"/>
        <w:rPr>
          <w:rFonts w:ascii="Century Gothic" w:hAnsi="Century Gothic" w:cs="Calibri"/>
          <w:i/>
          <w:iCs/>
          <w:snapToGrid w:val="0"/>
          <w:color w:val="FF0000"/>
          <w:sz w:val="16"/>
          <w:szCs w:val="16"/>
          <w:lang w:val="es-ES_tradnl"/>
        </w:rPr>
      </w:pPr>
    </w:p>
    <w:p w:rsidR="002E6B9E" w:rsidRPr="00B24659" w:rsidRDefault="002E6B9E" w:rsidP="000871FE">
      <w:pPr>
        <w:ind w:left="5040" w:firstLine="720"/>
        <w:rPr>
          <w:rFonts w:ascii="Century Gothic" w:hAnsi="Century Gothic" w:cs="Calibri"/>
          <w:i/>
          <w:iCs/>
          <w:snapToGrid w:val="0"/>
          <w:color w:val="FF0000"/>
          <w:sz w:val="16"/>
          <w:szCs w:val="16"/>
          <w:lang w:val="es-ES_tradnl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C8062E" w:rsidRPr="00B24659" w:rsidRDefault="00C8062E" w:rsidP="00C8062E">
      <w:pPr>
        <w:jc w:val="center"/>
        <w:rPr>
          <w:rFonts w:ascii="Century Gothic" w:hAnsi="Century Gothic" w:cs="Calibri"/>
          <w:b/>
          <w:sz w:val="16"/>
          <w:szCs w:val="16"/>
          <w:lang w:val="es-CO"/>
        </w:rPr>
      </w:pPr>
    </w:p>
    <w:p w:rsidR="00AF2B77" w:rsidRPr="00B24659" w:rsidRDefault="00AF2B77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409C1" w:rsidRDefault="001409C1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409C1" w:rsidRDefault="001409C1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409C1" w:rsidRDefault="001409C1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409C1" w:rsidRDefault="001409C1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409C1" w:rsidRPr="00B24659" w:rsidRDefault="001409C1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86C0D" w:rsidRPr="00B24659" w:rsidRDefault="00186C0D" w:rsidP="006F7659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p w:rsidR="001409C1" w:rsidRDefault="001409C1" w:rsidP="00DD1970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</w:p>
    <w:sectPr w:rsidR="001409C1" w:rsidSect="00A451CE">
      <w:headerReference w:type="default" r:id="rId18"/>
      <w:footerReference w:type="even" r:id="rId19"/>
      <w:footerReference w:type="default" r:id="rId20"/>
      <w:pgSz w:w="12240" w:h="15840" w:code="1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2E" w:rsidRDefault="00707D2E">
      <w:r>
        <w:separator/>
      </w:r>
    </w:p>
  </w:endnote>
  <w:endnote w:type="continuationSeparator" w:id="0">
    <w:p w:rsidR="00707D2E" w:rsidRDefault="0070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2E" w:rsidRDefault="00707D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7D2E" w:rsidRDefault="00707D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2E" w:rsidRDefault="00707D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16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07D2E" w:rsidRDefault="00707D2E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2E" w:rsidRDefault="00707D2E">
      <w:r>
        <w:separator/>
      </w:r>
    </w:p>
  </w:footnote>
  <w:footnote w:type="continuationSeparator" w:id="0">
    <w:p w:rsidR="00707D2E" w:rsidRDefault="0070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CE" w:rsidRDefault="00A451C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F29AC31" wp14:editId="1CBF8B7A">
          <wp:simplePos x="0" y="0"/>
          <wp:positionH relativeFrom="column">
            <wp:posOffset>1671955</wp:posOffset>
          </wp:positionH>
          <wp:positionV relativeFrom="paragraph">
            <wp:posOffset>-167309</wp:posOffset>
          </wp:positionV>
          <wp:extent cx="2171700" cy="608965"/>
          <wp:effectExtent l="0" t="0" r="0" b="635"/>
          <wp:wrapNone/>
          <wp:docPr id="6" name="Imagen 6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F9"/>
    <w:multiLevelType w:val="hybridMultilevel"/>
    <w:tmpl w:val="07B858F4"/>
    <w:lvl w:ilvl="0" w:tplc="341A18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F3830"/>
    <w:multiLevelType w:val="hybridMultilevel"/>
    <w:tmpl w:val="A6CC58AE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">
    <w:nsid w:val="0E8C3DA4"/>
    <w:multiLevelType w:val="hybridMultilevel"/>
    <w:tmpl w:val="E49484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F44"/>
    <w:multiLevelType w:val="hybridMultilevel"/>
    <w:tmpl w:val="726068E0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559E"/>
    <w:multiLevelType w:val="hybridMultilevel"/>
    <w:tmpl w:val="B50E8372"/>
    <w:lvl w:ilvl="0" w:tplc="2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391A2D"/>
    <w:multiLevelType w:val="hybridMultilevel"/>
    <w:tmpl w:val="400CA0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53FC1"/>
    <w:multiLevelType w:val="multilevel"/>
    <w:tmpl w:val="FF3662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4B13C0"/>
    <w:multiLevelType w:val="hybridMultilevel"/>
    <w:tmpl w:val="F634E8A2"/>
    <w:lvl w:ilvl="0" w:tplc="1D1056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71C3C"/>
    <w:multiLevelType w:val="hybridMultilevel"/>
    <w:tmpl w:val="BEA67C02"/>
    <w:lvl w:ilvl="0" w:tplc="B9AC8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82B67"/>
    <w:multiLevelType w:val="hybridMultilevel"/>
    <w:tmpl w:val="8E4C7002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8F4513A"/>
    <w:multiLevelType w:val="multilevel"/>
    <w:tmpl w:val="C86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6322506"/>
    <w:multiLevelType w:val="hybridMultilevel"/>
    <w:tmpl w:val="94AE3A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0147B"/>
    <w:multiLevelType w:val="hybridMultilevel"/>
    <w:tmpl w:val="D52215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14505"/>
    <w:multiLevelType w:val="hybridMultilevel"/>
    <w:tmpl w:val="C4547D1C"/>
    <w:lvl w:ilvl="0" w:tplc="317A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3452B"/>
    <w:multiLevelType w:val="hybridMultilevel"/>
    <w:tmpl w:val="72327386"/>
    <w:lvl w:ilvl="0" w:tplc="29EE04A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D616F"/>
    <w:multiLevelType w:val="hybridMultilevel"/>
    <w:tmpl w:val="49D602E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6E8061D4"/>
    <w:multiLevelType w:val="hybridMultilevel"/>
    <w:tmpl w:val="12F4A2E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6"/>
  </w:num>
  <w:num w:numId="5">
    <w:abstractNumId w:val="15"/>
  </w:num>
  <w:num w:numId="6">
    <w:abstractNumId w:val="6"/>
  </w:num>
  <w:num w:numId="7">
    <w:abstractNumId w:val="3"/>
  </w:num>
  <w:num w:numId="8">
    <w:abstractNumId w:val="22"/>
  </w:num>
  <w:num w:numId="9">
    <w:abstractNumId w:val="1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  <w:num w:numId="18">
    <w:abstractNumId w:val="12"/>
  </w:num>
  <w:num w:numId="19">
    <w:abstractNumId w:val="19"/>
  </w:num>
  <w:num w:numId="20">
    <w:abstractNumId w:val="2"/>
  </w:num>
  <w:num w:numId="21">
    <w:abstractNumId w:val="4"/>
  </w:num>
  <w:num w:numId="22">
    <w:abstractNumId w:val="7"/>
  </w:num>
  <w:num w:numId="23">
    <w:abstractNumId w:val="9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34F"/>
    <w:rsid w:val="000009AC"/>
    <w:rsid w:val="00005870"/>
    <w:rsid w:val="00007151"/>
    <w:rsid w:val="0001396C"/>
    <w:rsid w:val="00013CAB"/>
    <w:rsid w:val="0001547D"/>
    <w:rsid w:val="000164B7"/>
    <w:rsid w:val="00017BFF"/>
    <w:rsid w:val="00017D47"/>
    <w:rsid w:val="00021246"/>
    <w:rsid w:val="000220EA"/>
    <w:rsid w:val="00022A97"/>
    <w:rsid w:val="0003279C"/>
    <w:rsid w:val="00035774"/>
    <w:rsid w:val="00040499"/>
    <w:rsid w:val="000408EE"/>
    <w:rsid w:val="00040B35"/>
    <w:rsid w:val="0004353B"/>
    <w:rsid w:val="000500CF"/>
    <w:rsid w:val="00052207"/>
    <w:rsid w:val="000554B8"/>
    <w:rsid w:val="00060F9E"/>
    <w:rsid w:val="00061537"/>
    <w:rsid w:val="00067F80"/>
    <w:rsid w:val="000713C5"/>
    <w:rsid w:val="00072082"/>
    <w:rsid w:val="000733FA"/>
    <w:rsid w:val="00073CFB"/>
    <w:rsid w:val="00076560"/>
    <w:rsid w:val="000767EC"/>
    <w:rsid w:val="00076EE1"/>
    <w:rsid w:val="00077834"/>
    <w:rsid w:val="00081237"/>
    <w:rsid w:val="0008404F"/>
    <w:rsid w:val="000842A8"/>
    <w:rsid w:val="000871FE"/>
    <w:rsid w:val="00096B73"/>
    <w:rsid w:val="00097B35"/>
    <w:rsid w:val="000A1BF7"/>
    <w:rsid w:val="000B1154"/>
    <w:rsid w:val="000B14B7"/>
    <w:rsid w:val="000B2482"/>
    <w:rsid w:val="000B487F"/>
    <w:rsid w:val="000C26E1"/>
    <w:rsid w:val="000C316C"/>
    <w:rsid w:val="000C4EF2"/>
    <w:rsid w:val="000C5585"/>
    <w:rsid w:val="000C5E72"/>
    <w:rsid w:val="000D414E"/>
    <w:rsid w:val="000E0007"/>
    <w:rsid w:val="000E280D"/>
    <w:rsid w:val="000E2B27"/>
    <w:rsid w:val="000E4019"/>
    <w:rsid w:val="000E6240"/>
    <w:rsid w:val="000E65E1"/>
    <w:rsid w:val="000E683C"/>
    <w:rsid w:val="000E7B33"/>
    <w:rsid w:val="000F1B6A"/>
    <w:rsid w:val="000F1B91"/>
    <w:rsid w:val="000F32BE"/>
    <w:rsid w:val="000F769C"/>
    <w:rsid w:val="00101E6A"/>
    <w:rsid w:val="00111BD8"/>
    <w:rsid w:val="00112FDF"/>
    <w:rsid w:val="0011301E"/>
    <w:rsid w:val="00114FFA"/>
    <w:rsid w:val="001165CE"/>
    <w:rsid w:val="001327A5"/>
    <w:rsid w:val="00137E55"/>
    <w:rsid w:val="001409C1"/>
    <w:rsid w:val="00141790"/>
    <w:rsid w:val="00146C4D"/>
    <w:rsid w:val="00146E59"/>
    <w:rsid w:val="0015354B"/>
    <w:rsid w:val="00157341"/>
    <w:rsid w:val="00157F9A"/>
    <w:rsid w:val="00162AF3"/>
    <w:rsid w:val="00162CD7"/>
    <w:rsid w:val="0016319E"/>
    <w:rsid w:val="00163CAD"/>
    <w:rsid w:val="00165692"/>
    <w:rsid w:val="001677B8"/>
    <w:rsid w:val="0017102B"/>
    <w:rsid w:val="00183891"/>
    <w:rsid w:val="00183949"/>
    <w:rsid w:val="001844C2"/>
    <w:rsid w:val="00186C0D"/>
    <w:rsid w:val="00187B35"/>
    <w:rsid w:val="001922A4"/>
    <w:rsid w:val="00195711"/>
    <w:rsid w:val="001971AA"/>
    <w:rsid w:val="00197D07"/>
    <w:rsid w:val="001A1A8C"/>
    <w:rsid w:val="001A4EB3"/>
    <w:rsid w:val="001B2E8E"/>
    <w:rsid w:val="001B792F"/>
    <w:rsid w:val="001D2CE1"/>
    <w:rsid w:val="001D3CBF"/>
    <w:rsid w:val="001E75F6"/>
    <w:rsid w:val="001E7875"/>
    <w:rsid w:val="001F06E1"/>
    <w:rsid w:val="001F2A01"/>
    <w:rsid w:val="001F3084"/>
    <w:rsid w:val="0020062E"/>
    <w:rsid w:val="002012D0"/>
    <w:rsid w:val="00206B22"/>
    <w:rsid w:val="002122E9"/>
    <w:rsid w:val="00212EE8"/>
    <w:rsid w:val="00216370"/>
    <w:rsid w:val="00216788"/>
    <w:rsid w:val="00217F20"/>
    <w:rsid w:val="002209FD"/>
    <w:rsid w:val="002212BD"/>
    <w:rsid w:val="00223D65"/>
    <w:rsid w:val="00227F90"/>
    <w:rsid w:val="00230409"/>
    <w:rsid w:val="00234E22"/>
    <w:rsid w:val="0025211D"/>
    <w:rsid w:val="00256835"/>
    <w:rsid w:val="002627A3"/>
    <w:rsid w:val="00262A0F"/>
    <w:rsid w:val="002637BD"/>
    <w:rsid w:val="00264E2F"/>
    <w:rsid w:val="00265D58"/>
    <w:rsid w:val="002709F3"/>
    <w:rsid w:val="00274651"/>
    <w:rsid w:val="0027658D"/>
    <w:rsid w:val="00281DF7"/>
    <w:rsid w:val="00287221"/>
    <w:rsid w:val="00290A6D"/>
    <w:rsid w:val="002912A1"/>
    <w:rsid w:val="00293F22"/>
    <w:rsid w:val="0029529B"/>
    <w:rsid w:val="002952E1"/>
    <w:rsid w:val="00296F37"/>
    <w:rsid w:val="002A09EC"/>
    <w:rsid w:val="002A4035"/>
    <w:rsid w:val="002A4B8A"/>
    <w:rsid w:val="002A5E26"/>
    <w:rsid w:val="002A7362"/>
    <w:rsid w:val="002A765B"/>
    <w:rsid w:val="002B3242"/>
    <w:rsid w:val="002B425D"/>
    <w:rsid w:val="002B508D"/>
    <w:rsid w:val="002B74C2"/>
    <w:rsid w:val="002C08B6"/>
    <w:rsid w:val="002D0A95"/>
    <w:rsid w:val="002D2525"/>
    <w:rsid w:val="002D345A"/>
    <w:rsid w:val="002D4F01"/>
    <w:rsid w:val="002D5465"/>
    <w:rsid w:val="002E6B9E"/>
    <w:rsid w:val="002E6DD2"/>
    <w:rsid w:val="002F3210"/>
    <w:rsid w:val="002F4796"/>
    <w:rsid w:val="002F5241"/>
    <w:rsid w:val="002F6032"/>
    <w:rsid w:val="003030AB"/>
    <w:rsid w:val="0030580C"/>
    <w:rsid w:val="00305C69"/>
    <w:rsid w:val="00305FBA"/>
    <w:rsid w:val="00307293"/>
    <w:rsid w:val="00307F3E"/>
    <w:rsid w:val="00312B1C"/>
    <w:rsid w:val="00314899"/>
    <w:rsid w:val="003162F1"/>
    <w:rsid w:val="00316912"/>
    <w:rsid w:val="00326A8B"/>
    <w:rsid w:val="00337E3F"/>
    <w:rsid w:val="00342018"/>
    <w:rsid w:val="00343833"/>
    <w:rsid w:val="003458CA"/>
    <w:rsid w:val="003468CE"/>
    <w:rsid w:val="00346BE9"/>
    <w:rsid w:val="003509A6"/>
    <w:rsid w:val="00355F2B"/>
    <w:rsid w:val="003577CA"/>
    <w:rsid w:val="00363E7C"/>
    <w:rsid w:val="00371F4E"/>
    <w:rsid w:val="00373998"/>
    <w:rsid w:val="0037767C"/>
    <w:rsid w:val="00381FC0"/>
    <w:rsid w:val="00383124"/>
    <w:rsid w:val="003939B5"/>
    <w:rsid w:val="00397BE6"/>
    <w:rsid w:val="003A1829"/>
    <w:rsid w:val="003A3C1E"/>
    <w:rsid w:val="003A4F81"/>
    <w:rsid w:val="003B4433"/>
    <w:rsid w:val="003B6F99"/>
    <w:rsid w:val="003C12CF"/>
    <w:rsid w:val="003C16EC"/>
    <w:rsid w:val="003C2107"/>
    <w:rsid w:val="003C237B"/>
    <w:rsid w:val="003C553A"/>
    <w:rsid w:val="003C745C"/>
    <w:rsid w:val="003D2D92"/>
    <w:rsid w:val="003D4A44"/>
    <w:rsid w:val="003D67B4"/>
    <w:rsid w:val="003E55F5"/>
    <w:rsid w:val="003F4FA6"/>
    <w:rsid w:val="004014B6"/>
    <w:rsid w:val="00403AE1"/>
    <w:rsid w:val="004054C4"/>
    <w:rsid w:val="00407522"/>
    <w:rsid w:val="004178D9"/>
    <w:rsid w:val="004215AB"/>
    <w:rsid w:val="004262EB"/>
    <w:rsid w:val="00433C93"/>
    <w:rsid w:val="00436E0E"/>
    <w:rsid w:val="00443673"/>
    <w:rsid w:val="0044683B"/>
    <w:rsid w:val="00450F73"/>
    <w:rsid w:val="00452EFE"/>
    <w:rsid w:val="00454621"/>
    <w:rsid w:val="004549B5"/>
    <w:rsid w:val="00471A21"/>
    <w:rsid w:val="004778D3"/>
    <w:rsid w:val="00481A69"/>
    <w:rsid w:val="00482DA3"/>
    <w:rsid w:val="00483B63"/>
    <w:rsid w:val="0048580B"/>
    <w:rsid w:val="00487F8F"/>
    <w:rsid w:val="00490486"/>
    <w:rsid w:val="00497B3E"/>
    <w:rsid w:val="004A0210"/>
    <w:rsid w:val="004A7BC4"/>
    <w:rsid w:val="004B6482"/>
    <w:rsid w:val="004C10A2"/>
    <w:rsid w:val="004C6385"/>
    <w:rsid w:val="004D0510"/>
    <w:rsid w:val="004D1B5B"/>
    <w:rsid w:val="004D3162"/>
    <w:rsid w:val="004E355A"/>
    <w:rsid w:val="004E62C7"/>
    <w:rsid w:val="004F052E"/>
    <w:rsid w:val="004F527B"/>
    <w:rsid w:val="004F6969"/>
    <w:rsid w:val="004F7016"/>
    <w:rsid w:val="004F7466"/>
    <w:rsid w:val="005033E5"/>
    <w:rsid w:val="00503EAB"/>
    <w:rsid w:val="00504C13"/>
    <w:rsid w:val="00507670"/>
    <w:rsid w:val="00507DA9"/>
    <w:rsid w:val="00517A4B"/>
    <w:rsid w:val="00517ABB"/>
    <w:rsid w:val="00522C9E"/>
    <w:rsid w:val="005300CE"/>
    <w:rsid w:val="00531501"/>
    <w:rsid w:val="00532DF1"/>
    <w:rsid w:val="00533F61"/>
    <w:rsid w:val="00534BBF"/>
    <w:rsid w:val="00542290"/>
    <w:rsid w:val="00542541"/>
    <w:rsid w:val="0054617A"/>
    <w:rsid w:val="00551AB0"/>
    <w:rsid w:val="00555033"/>
    <w:rsid w:val="00557EB0"/>
    <w:rsid w:val="00562E0A"/>
    <w:rsid w:val="00566CE3"/>
    <w:rsid w:val="00566E36"/>
    <w:rsid w:val="005702C8"/>
    <w:rsid w:val="00572C14"/>
    <w:rsid w:val="00575082"/>
    <w:rsid w:val="005762B8"/>
    <w:rsid w:val="005811EA"/>
    <w:rsid w:val="00581B68"/>
    <w:rsid w:val="00581FCC"/>
    <w:rsid w:val="00583871"/>
    <w:rsid w:val="00586F0F"/>
    <w:rsid w:val="00587291"/>
    <w:rsid w:val="005874EE"/>
    <w:rsid w:val="00595E38"/>
    <w:rsid w:val="0059638C"/>
    <w:rsid w:val="005A7953"/>
    <w:rsid w:val="005B0315"/>
    <w:rsid w:val="005B0FBB"/>
    <w:rsid w:val="005B25AF"/>
    <w:rsid w:val="005B27BE"/>
    <w:rsid w:val="005B2929"/>
    <w:rsid w:val="005C0CC0"/>
    <w:rsid w:val="005C1714"/>
    <w:rsid w:val="005C2C7D"/>
    <w:rsid w:val="005C7F84"/>
    <w:rsid w:val="005D400B"/>
    <w:rsid w:val="005E1CBD"/>
    <w:rsid w:val="005E3895"/>
    <w:rsid w:val="005F1100"/>
    <w:rsid w:val="005F25FD"/>
    <w:rsid w:val="005F4B40"/>
    <w:rsid w:val="005F4D20"/>
    <w:rsid w:val="005F4E3A"/>
    <w:rsid w:val="005F4FFC"/>
    <w:rsid w:val="005F5147"/>
    <w:rsid w:val="005F7E3D"/>
    <w:rsid w:val="00600189"/>
    <w:rsid w:val="006021A2"/>
    <w:rsid w:val="0061217E"/>
    <w:rsid w:val="006147CB"/>
    <w:rsid w:val="00615B87"/>
    <w:rsid w:val="006242B1"/>
    <w:rsid w:val="00625B8C"/>
    <w:rsid w:val="006309DA"/>
    <w:rsid w:val="0063187A"/>
    <w:rsid w:val="006366F5"/>
    <w:rsid w:val="00642D7B"/>
    <w:rsid w:val="00643FCB"/>
    <w:rsid w:val="00645A1A"/>
    <w:rsid w:val="00645C6C"/>
    <w:rsid w:val="00650DB0"/>
    <w:rsid w:val="0065376A"/>
    <w:rsid w:val="006574ED"/>
    <w:rsid w:val="006606DA"/>
    <w:rsid w:val="00660F26"/>
    <w:rsid w:val="00661AEB"/>
    <w:rsid w:val="00664736"/>
    <w:rsid w:val="006715A7"/>
    <w:rsid w:val="00671A14"/>
    <w:rsid w:val="00674079"/>
    <w:rsid w:val="00680DD1"/>
    <w:rsid w:val="006819E7"/>
    <w:rsid w:val="00681D2E"/>
    <w:rsid w:val="00686142"/>
    <w:rsid w:val="00690DBD"/>
    <w:rsid w:val="00690F72"/>
    <w:rsid w:val="006920B9"/>
    <w:rsid w:val="006950A9"/>
    <w:rsid w:val="006A1036"/>
    <w:rsid w:val="006A4B36"/>
    <w:rsid w:val="006B11F3"/>
    <w:rsid w:val="006B7422"/>
    <w:rsid w:val="006C1245"/>
    <w:rsid w:val="006C1333"/>
    <w:rsid w:val="006C3A48"/>
    <w:rsid w:val="006C6650"/>
    <w:rsid w:val="006D24CC"/>
    <w:rsid w:val="006D45AE"/>
    <w:rsid w:val="006D5351"/>
    <w:rsid w:val="006D53C7"/>
    <w:rsid w:val="006D6297"/>
    <w:rsid w:val="006D6A50"/>
    <w:rsid w:val="006E10F4"/>
    <w:rsid w:val="006E137C"/>
    <w:rsid w:val="006E240F"/>
    <w:rsid w:val="006F1596"/>
    <w:rsid w:val="006F2996"/>
    <w:rsid w:val="006F472B"/>
    <w:rsid w:val="006F5F6D"/>
    <w:rsid w:val="006F7659"/>
    <w:rsid w:val="00700B33"/>
    <w:rsid w:val="00705A7E"/>
    <w:rsid w:val="00705AF3"/>
    <w:rsid w:val="007074FF"/>
    <w:rsid w:val="00707771"/>
    <w:rsid w:val="00707D2E"/>
    <w:rsid w:val="007141FA"/>
    <w:rsid w:val="00720815"/>
    <w:rsid w:val="007221BE"/>
    <w:rsid w:val="007235ED"/>
    <w:rsid w:val="00724E5E"/>
    <w:rsid w:val="0072753F"/>
    <w:rsid w:val="007304AB"/>
    <w:rsid w:val="0073378B"/>
    <w:rsid w:val="00733C1C"/>
    <w:rsid w:val="007349B4"/>
    <w:rsid w:val="00734FF1"/>
    <w:rsid w:val="00736DDB"/>
    <w:rsid w:val="0074398A"/>
    <w:rsid w:val="00751F66"/>
    <w:rsid w:val="00756381"/>
    <w:rsid w:val="00760AAE"/>
    <w:rsid w:val="00761DA4"/>
    <w:rsid w:val="00762825"/>
    <w:rsid w:val="00763ACC"/>
    <w:rsid w:val="007641F1"/>
    <w:rsid w:val="0076572E"/>
    <w:rsid w:val="007701A6"/>
    <w:rsid w:val="007876CD"/>
    <w:rsid w:val="00787B9F"/>
    <w:rsid w:val="0079266C"/>
    <w:rsid w:val="00792C26"/>
    <w:rsid w:val="00794EA2"/>
    <w:rsid w:val="007A06B1"/>
    <w:rsid w:val="007A07B5"/>
    <w:rsid w:val="007A0B0E"/>
    <w:rsid w:val="007A3F8D"/>
    <w:rsid w:val="007A5378"/>
    <w:rsid w:val="007A641A"/>
    <w:rsid w:val="007A6D1A"/>
    <w:rsid w:val="007A7C81"/>
    <w:rsid w:val="007B02C0"/>
    <w:rsid w:val="007B11E6"/>
    <w:rsid w:val="007B5255"/>
    <w:rsid w:val="007C12E3"/>
    <w:rsid w:val="007C1679"/>
    <w:rsid w:val="007C2443"/>
    <w:rsid w:val="007C70BD"/>
    <w:rsid w:val="007D0C44"/>
    <w:rsid w:val="007D2912"/>
    <w:rsid w:val="007D295B"/>
    <w:rsid w:val="007D3FF9"/>
    <w:rsid w:val="007D58C6"/>
    <w:rsid w:val="007D790A"/>
    <w:rsid w:val="007E03DA"/>
    <w:rsid w:val="007E6019"/>
    <w:rsid w:val="007F253D"/>
    <w:rsid w:val="007F46EC"/>
    <w:rsid w:val="007F69D1"/>
    <w:rsid w:val="00803075"/>
    <w:rsid w:val="00811250"/>
    <w:rsid w:val="00824A64"/>
    <w:rsid w:val="00834551"/>
    <w:rsid w:val="00836CF5"/>
    <w:rsid w:val="00840662"/>
    <w:rsid w:val="00843C89"/>
    <w:rsid w:val="00847A15"/>
    <w:rsid w:val="00850930"/>
    <w:rsid w:val="00854CEC"/>
    <w:rsid w:val="00860680"/>
    <w:rsid w:val="00861BC2"/>
    <w:rsid w:val="00863262"/>
    <w:rsid w:val="00863CF6"/>
    <w:rsid w:val="008708FA"/>
    <w:rsid w:val="00872946"/>
    <w:rsid w:val="0088197A"/>
    <w:rsid w:val="00881A72"/>
    <w:rsid w:val="008870C6"/>
    <w:rsid w:val="00887B65"/>
    <w:rsid w:val="008935D7"/>
    <w:rsid w:val="00897E74"/>
    <w:rsid w:val="008A4070"/>
    <w:rsid w:val="008B4A92"/>
    <w:rsid w:val="008B6703"/>
    <w:rsid w:val="008B7396"/>
    <w:rsid w:val="008B7452"/>
    <w:rsid w:val="008B768B"/>
    <w:rsid w:val="008C0930"/>
    <w:rsid w:val="008C2963"/>
    <w:rsid w:val="008C43BC"/>
    <w:rsid w:val="008C7CB1"/>
    <w:rsid w:val="008D1A45"/>
    <w:rsid w:val="008D4B00"/>
    <w:rsid w:val="008D6282"/>
    <w:rsid w:val="008D6836"/>
    <w:rsid w:val="008E0BBC"/>
    <w:rsid w:val="008E2558"/>
    <w:rsid w:val="008E28B3"/>
    <w:rsid w:val="008E47C1"/>
    <w:rsid w:val="008E4EDF"/>
    <w:rsid w:val="008E6143"/>
    <w:rsid w:val="008E68BB"/>
    <w:rsid w:val="008E7F18"/>
    <w:rsid w:val="008F098B"/>
    <w:rsid w:val="008F0ED7"/>
    <w:rsid w:val="008F0F84"/>
    <w:rsid w:val="008F16D4"/>
    <w:rsid w:val="008F1BC9"/>
    <w:rsid w:val="008F5B4A"/>
    <w:rsid w:val="00914302"/>
    <w:rsid w:val="00920245"/>
    <w:rsid w:val="009210FC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71A51"/>
    <w:rsid w:val="00974FAA"/>
    <w:rsid w:val="00980CD6"/>
    <w:rsid w:val="00985C21"/>
    <w:rsid w:val="009865B0"/>
    <w:rsid w:val="00987825"/>
    <w:rsid w:val="009934AE"/>
    <w:rsid w:val="0099399B"/>
    <w:rsid w:val="00995AE2"/>
    <w:rsid w:val="009965A6"/>
    <w:rsid w:val="009A0BA5"/>
    <w:rsid w:val="009A311A"/>
    <w:rsid w:val="009A343A"/>
    <w:rsid w:val="009A6C20"/>
    <w:rsid w:val="009B4ED3"/>
    <w:rsid w:val="009B502F"/>
    <w:rsid w:val="009B6178"/>
    <w:rsid w:val="009B6742"/>
    <w:rsid w:val="009B7F61"/>
    <w:rsid w:val="009C14BD"/>
    <w:rsid w:val="009C15AD"/>
    <w:rsid w:val="009D0BDD"/>
    <w:rsid w:val="009D2DBF"/>
    <w:rsid w:val="009D30A1"/>
    <w:rsid w:val="009D3DC8"/>
    <w:rsid w:val="009E14C6"/>
    <w:rsid w:val="009E3381"/>
    <w:rsid w:val="009E5436"/>
    <w:rsid w:val="009E6DA3"/>
    <w:rsid w:val="009F0C05"/>
    <w:rsid w:val="009F1454"/>
    <w:rsid w:val="009F39DE"/>
    <w:rsid w:val="009F45BB"/>
    <w:rsid w:val="00A0018A"/>
    <w:rsid w:val="00A03A76"/>
    <w:rsid w:val="00A055BE"/>
    <w:rsid w:val="00A055D9"/>
    <w:rsid w:val="00A10DD3"/>
    <w:rsid w:val="00A13C37"/>
    <w:rsid w:val="00A16E34"/>
    <w:rsid w:val="00A217B3"/>
    <w:rsid w:val="00A22E75"/>
    <w:rsid w:val="00A25844"/>
    <w:rsid w:val="00A267E9"/>
    <w:rsid w:val="00A34104"/>
    <w:rsid w:val="00A3422C"/>
    <w:rsid w:val="00A35B2B"/>
    <w:rsid w:val="00A400EE"/>
    <w:rsid w:val="00A41370"/>
    <w:rsid w:val="00A41A0A"/>
    <w:rsid w:val="00A451CE"/>
    <w:rsid w:val="00A46285"/>
    <w:rsid w:val="00A50FDD"/>
    <w:rsid w:val="00A52F42"/>
    <w:rsid w:val="00A546EA"/>
    <w:rsid w:val="00A64DB0"/>
    <w:rsid w:val="00A66D20"/>
    <w:rsid w:val="00A6745E"/>
    <w:rsid w:val="00A715B2"/>
    <w:rsid w:val="00A72E26"/>
    <w:rsid w:val="00A73FE6"/>
    <w:rsid w:val="00A7508B"/>
    <w:rsid w:val="00A818BD"/>
    <w:rsid w:val="00A81CA1"/>
    <w:rsid w:val="00A86695"/>
    <w:rsid w:val="00A90007"/>
    <w:rsid w:val="00A92967"/>
    <w:rsid w:val="00A94833"/>
    <w:rsid w:val="00A9761F"/>
    <w:rsid w:val="00AA21F7"/>
    <w:rsid w:val="00AA3461"/>
    <w:rsid w:val="00AA4D93"/>
    <w:rsid w:val="00AC4CA5"/>
    <w:rsid w:val="00AC52FE"/>
    <w:rsid w:val="00AC54B2"/>
    <w:rsid w:val="00AC54FE"/>
    <w:rsid w:val="00AD0BEC"/>
    <w:rsid w:val="00AD298E"/>
    <w:rsid w:val="00AE1DD6"/>
    <w:rsid w:val="00AE30ED"/>
    <w:rsid w:val="00AE6714"/>
    <w:rsid w:val="00AF0973"/>
    <w:rsid w:val="00AF2B77"/>
    <w:rsid w:val="00AF51B7"/>
    <w:rsid w:val="00AF5F6D"/>
    <w:rsid w:val="00AF660C"/>
    <w:rsid w:val="00AF6BC0"/>
    <w:rsid w:val="00B02BFB"/>
    <w:rsid w:val="00B06CEB"/>
    <w:rsid w:val="00B12521"/>
    <w:rsid w:val="00B133CB"/>
    <w:rsid w:val="00B231F2"/>
    <w:rsid w:val="00B24659"/>
    <w:rsid w:val="00B25018"/>
    <w:rsid w:val="00B30036"/>
    <w:rsid w:val="00B30379"/>
    <w:rsid w:val="00B30CE5"/>
    <w:rsid w:val="00B40884"/>
    <w:rsid w:val="00B41536"/>
    <w:rsid w:val="00B41B3B"/>
    <w:rsid w:val="00B46ACB"/>
    <w:rsid w:val="00B5245B"/>
    <w:rsid w:val="00B540F5"/>
    <w:rsid w:val="00B54171"/>
    <w:rsid w:val="00B626F2"/>
    <w:rsid w:val="00B713E1"/>
    <w:rsid w:val="00B7194B"/>
    <w:rsid w:val="00B730B6"/>
    <w:rsid w:val="00B75C41"/>
    <w:rsid w:val="00B81EF9"/>
    <w:rsid w:val="00B840F8"/>
    <w:rsid w:val="00B85DB4"/>
    <w:rsid w:val="00B85ECE"/>
    <w:rsid w:val="00B873C8"/>
    <w:rsid w:val="00B910DF"/>
    <w:rsid w:val="00B93551"/>
    <w:rsid w:val="00B9379D"/>
    <w:rsid w:val="00BA0DB5"/>
    <w:rsid w:val="00BA0E6E"/>
    <w:rsid w:val="00BA12D4"/>
    <w:rsid w:val="00BA34B5"/>
    <w:rsid w:val="00BA41F8"/>
    <w:rsid w:val="00BA4792"/>
    <w:rsid w:val="00BA6DC4"/>
    <w:rsid w:val="00BB0014"/>
    <w:rsid w:val="00BB13AA"/>
    <w:rsid w:val="00BB633E"/>
    <w:rsid w:val="00BC3823"/>
    <w:rsid w:val="00BC607D"/>
    <w:rsid w:val="00BD23EF"/>
    <w:rsid w:val="00BD2B0C"/>
    <w:rsid w:val="00BD6AFE"/>
    <w:rsid w:val="00BD7A94"/>
    <w:rsid w:val="00BE099D"/>
    <w:rsid w:val="00BE6392"/>
    <w:rsid w:val="00BF0BBE"/>
    <w:rsid w:val="00BF3786"/>
    <w:rsid w:val="00BF7793"/>
    <w:rsid w:val="00C00FC9"/>
    <w:rsid w:val="00C06D3C"/>
    <w:rsid w:val="00C07921"/>
    <w:rsid w:val="00C130A0"/>
    <w:rsid w:val="00C144E2"/>
    <w:rsid w:val="00C15E6F"/>
    <w:rsid w:val="00C16556"/>
    <w:rsid w:val="00C16ADE"/>
    <w:rsid w:val="00C17D8D"/>
    <w:rsid w:val="00C215AF"/>
    <w:rsid w:val="00C235BB"/>
    <w:rsid w:val="00C25D0F"/>
    <w:rsid w:val="00C270D9"/>
    <w:rsid w:val="00C32E23"/>
    <w:rsid w:val="00C36A93"/>
    <w:rsid w:val="00C417CC"/>
    <w:rsid w:val="00C437D7"/>
    <w:rsid w:val="00C45620"/>
    <w:rsid w:val="00C471CD"/>
    <w:rsid w:val="00C50213"/>
    <w:rsid w:val="00C5735A"/>
    <w:rsid w:val="00C5747C"/>
    <w:rsid w:val="00C57766"/>
    <w:rsid w:val="00C61A2E"/>
    <w:rsid w:val="00C705EA"/>
    <w:rsid w:val="00C73C15"/>
    <w:rsid w:val="00C75050"/>
    <w:rsid w:val="00C759F7"/>
    <w:rsid w:val="00C762CD"/>
    <w:rsid w:val="00C800A0"/>
    <w:rsid w:val="00C8062E"/>
    <w:rsid w:val="00C947AB"/>
    <w:rsid w:val="00C95053"/>
    <w:rsid w:val="00C957AB"/>
    <w:rsid w:val="00CA23F7"/>
    <w:rsid w:val="00CA7FF3"/>
    <w:rsid w:val="00CB080A"/>
    <w:rsid w:val="00CB0EF2"/>
    <w:rsid w:val="00CB734D"/>
    <w:rsid w:val="00CB76CB"/>
    <w:rsid w:val="00CC1944"/>
    <w:rsid w:val="00CC4744"/>
    <w:rsid w:val="00CC6A25"/>
    <w:rsid w:val="00CD1BC2"/>
    <w:rsid w:val="00CD7954"/>
    <w:rsid w:val="00CE4BC8"/>
    <w:rsid w:val="00CF0EFC"/>
    <w:rsid w:val="00CF1E64"/>
    <w:rsid w:val="00CF3BAE"/>
    <w:rsid w:val="00CF40C5"/>
    <w:rsid w:val="00CF5D8D"/>
    <w:rsid w:val="00CF7DAD"/>
    <w:rsid w:val="00CF7E42"/>
    <w:rsid w:val="00D03B98"/>
    <w:rsid w:val="00D03D27"/>
    <w:rsid w:val="00D105D1"/>
    <w:rsid w:val="00D14202"/>
    <w:rsid w:val="00D16A67"/>
    <w:rsid w:val="00D2083B"/>
    <w:rsid w:val="00D33E5F"/>
    <w:rsid w:val="00D36BE3"/>
    <w:rsid w:val="00D40020"/>
    <w:rsid w:val="00D41316"/>
    <w:rsid w:val="00D469E6"/>
    <w:rsid w:val="00D46DB5"/>
    <w:rsid w:val="00D60E68"/>
    <w:rsid w:val="00D63BD1"/>
    <w:rsid w:val="00D6467D"/>
    <w:rsid w:val="00D67916"/>
    <w:rsid w:val="00D718ED"/>
    <w:rsid w:val="00D731AB"/>
    <w:rsid w:val="00D742A1"/>
    <w:rsid w:val="00D833CB"/>
    <w:rsid w:val="00D83728"/>
    <w:rsid w:val="00D84437"/>
    <w:rsid w:val="00D850FB"/>
    <w:rsid w:val="00D902AC"/>
    <w:rsid w:val="00D9574C"/>
    <w:rsid w:val="00D96988"/>
    <w:rsid w:val="00D97812"/>
    <w:rsid w:val="00DA0B5D"/>
    <w:rsid w:val="00DA62CC"/>
    <w:rsid w:val="00DA6C03"/>
    <w:rsid w:val="00DB2AF2"/>
    <w:rsid w:val="00DB33F4"/>
    <w:rsid w:val="00DB6392"/>
    <w:rsid w:val="00DC0535"/>
    <w:rsid w:val="00DC5308"/>
    <w:rsid w:val="00DC55CA"/>
    <w:rsid w:val="00DD08F7"/>
    <w:rsid w:val="00DD1970"/>
    <w:rsid w:val="00DD3742"/>
    <w:rsid w:val="00DD4CAC"/>
    <w:rsid w:val="00DD75E7"/>
    <w:rsid w:val="00DE0724"/>
    <w:rsid w:val="00DE47CB"/>
    <w:rsid w:val="00DE6A10"/>
    <w:rsid w:val="00DE750C"/>
    <w:rsid w:val="00DF291E"/>
    <w:rsid w:val="00DF5222"/>
    <w:rsid w:val="00DF6EB6"/>
    <w:rsid w:val="00E03B74"/>
    <w:rsid w:val="00E0536F"/>
    <w:rsid w:val="00E07A6D"/>
    <w:rsid w:val="00E07AC9"/>
    <w:rsid w:val="00E1021F"/>
    <w:rsid w:val="00E1328B"/>
    <w:rsid w:val="00E145E4"/>
    <w:rsid w:val="00E1483A"/>
    <w:rsid w:val="00E14C97"/>
    <w:rsid w:val="00E15B22"/>
    <w:rsid w:val="00E16C3F"/>
    <w:rsid w:val="00E1709D"/>
    <w:rsid w:val="00E20A45"/>
    <w:rsid w:val="00E215C9"/>
    <w:rsid w:val="00E320EB"/>
    <w:rsid w:val="00E3297E"/>
    <w:rsid w:val="00E32D00"/>
    <w:rsid w:val="00E3451A"/>
    <w:rsid w:val="00E370DA"/>
    <w:rsid w:val="00E4387E"/>
    <w:rsid w:val="00E4416E"/>
    <w:rsid w:val="00E47226"/>
    <w:rsid w:val="00E552FC"/>
    <w:rsid w:val="00E55FA8"/>
    <w:rsid w:val="00E5609E"/>
    <w:rsid w:val="00E57524"/>
    <w:rsid w:val="00E57D5F"/>
    <w:rsid w:val="00E57F48"/>
    <w:rsid w:val="00E60ED4"/>
    <w:rsid w:val="00E6152C"/>
    <w:rsid w:val="00E6235A"/>
    <w:rsid w:val="00E623E8"/>
    <w:rsid w:val="00E62E0A"/>
    <w:rsid w:val="00E66B56"/>
    <w:rsid w:val="00E66F9C"/>
    <w:rsid w:val="00E73C6A"/>
    <w:rsid w:val="00E84378"/>
    <w:rsid w:val="00E843B7"/>
    <w:rsid w:val="00E8500E"/>
    <w:rsid w:val="00E85253"/>
    <w:rsid w:val="00E86D94"/>
    <w:rsid w:val="00E914F3"/>
    <w:rsid w:val="00E9163F"/>
    <w:rsid w:val="00E92385"/>
    <w:rsid w:val="00E926AB"/>
    <w:rsid w:val="00E933A8"/>
    <w:rsid w:val="00E960B3"/>
    <w:rsid w:val="00E9625F"/>
    <w:rsid w:val="00E97841"/>
    <w:rsid w:val="00EA2FFF"/>
    <w:rsid w:val="00EA3DB1"/>
    <w:rsid w:val="00EA69C7"/>
    <w:rsid w:val="00EB429D"/>
    <w:rsid w:val="00EB486B"/>
    <w:rsid w:val="00EB7029"/>
    <w:rsid w:val="00EB769F"/>
    <w:rsid w:val="00EC7F20"/>
    <w:rsid w:val="00ED1DFB"/>
    <w:rsid w:val="00ED4CAA"/>
    <w:rsid w:val="00ED64CF"/>
    <w:rsid w:val="00ED75B8"/>
    <w:rsid w:val="00EE458A"/>
    <w:rsid w:val="00EE6A55"/>
    <w:rsid w:val="00F02BA4"/>
    <w:rsid w:val="00F037E2"/>
    <w:rsid w:val="00F04A61"/>
    <w:rsid w:val="00F053FA"/>
    <w:rsid w:val="00F0639D"/>
    <w:rsid w:val="00F071BC"/>
    <w:rsid w:val="00F075F2"/>
    <w:rsid w:val="00F117CB"/>
    <w:rsid w:val="00F1770C"/>
    <w:rsid w:val="00F17A14"/>
    <w:rsid w:val="00F17B70"/>
    <w:rsid w:val="00F17C9C"/>
    <w:rsid w:val="00F20A32"/>
    <w:rsid w:val="00F31494"/>
    <w:rsid w:val="00F348F9"/>
    <w:rsid w:val="00F349F5"/>
    <w:rsid w:val="00F3614B"/>
    <w:rsid w:val="00F36206"/>
    <w:rsid w:val="00F4090D"/>
    <w:rsid w:val="00F41417"/>
    <w:rsid w:val="00F53827"/>
    <w:rsid w:val="00F54A84"/>
    <w:rsid w:val="00F63DC6"/>
    <w:rsid w:val="00F6506D"/>
    <w:rsid w:val="00F74AE7"/>
    <w:rsid w:val="00F7630C"/>
    <w:rsid w:val="00F81C6C"/>
    <w:rsid w:val="00F820BB"/>
    <w:rsid w:val="00F82B9F"/>
    <w:rsid w:val="00F83CEC"/>
    <w:rsid w:val="00F84374"/>
    <w:rsid w:val="00F851B5"/>
    <w:rsid w:val="00F915DB"/>
    <w:rsid w:val="00F918F6"/>
    <w:rsid w:val="00F934DB"/>
    <w:rsid w:val="00F93A0C"/>
    <w:rsid w:val="00FA5328"/>
    <w:rsid w:val="00FA5473"/>
    <w:rsid w:val="00FA5890"/>
    <w:rsid w:val="00FA7755"/>
    <w:rsid w:val="00FB0AA3"/>
    <w:rsid w:val="00FB36C8"/>
    <w:rsid w:val="00FB75CF"/>
    <w:rsid w:val="00FC077D"/>
    <w:rsid w:val="00FC1071"/>
    <w:rsid w:val="00FC24F1"/>
    <w:rsid w:val="00FC30B4"/>
    <w:rsid w:val="00FC4906"/>
    <w:rsid w:val="00FC647D"/>
    <w:rsid w:val="00FD0420"/>
    <w:rsid w:val="00FD045C"/>
    <w:rsid w:val="00FD0C88"/>
    <w:rsid w:val="00FD1A30"/>
    <w:rsid w:val="00FD3C55"/>
    <w:rsid w:val="00FD687F"/>
    <w:rsid w:val="00FE5177"/>
    <w:rsid w:val="00FF009D"/>
    <w:rsid w:val="00FF0A41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A4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A4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dquisiciones.col@unodc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un.org/depts/ptd/pdf/conduct_spanis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dp.org/procurement/protest.s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quisiciones.col@unodc.org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quisiciones.col@unodc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UNITBOM-1780-240</_dlc_DocId>
    <_dlc_DocIdUrl xmlns="bf4c0e24-4363-4a2c-98c4-ba38f29833df">
      <Url>https://intranet.undp.org/unit/bom/pso/_layouts/DocIdRedir.aspx?ID=UNITBOM-1780-240</Url>
      <Description>UNITBOM-1780-240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80865120-1096-435a-981f-59a31bfae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4c0e24-4363-4a2c-98c4-ba38f29833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0154DB-3425-45C3-AB14-599BD1E62D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A896C-6293-4332-B957-618C4A04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0444F7-CEB0-42AB-BE28-1DCC93A0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1738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11373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 Zuleta</cp:lastModifiedBy>
  <cp:revision>3</cp:revision>
  <cp:lastPrinted>2014-04-24T19:58:00Z</cp:lastPrinted>
  <dcterms:created xsi:type="dcterms:W3CDTF">2014-07-28T16:01:00Z</dcterms:created>
  <dcterms:modified xsi:type="dcterms:W3CDTF">2014-07-28T16:10:00Z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730b41f1-061a-4a02-a52f-3842649d8e14</vt:lpwstr>
  </property>
</Properties>
</file>