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F12A73">
        <w:rPr>
          <w:rFonts w:ascii="Arial" w:eastAsia="Times New Roman" w:hAnsi="Arial" w:cs="Arial"/>
          <w:i/>
          <w:color w:val="000000"/>
          <w:sz w:val="20"/>
          <w:szCs w:val="20"/>
          <w:lang w:eastAsia="en-PH"/>
        </w:rPr>
        <w:t xml:space="preserve"> on behalf of UNODC</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w:t>
      </w:r>
      <w:r w:rsidR="00F12A73">
        <w:rPr>
          <w:rFonts w:ascii="Arial" w:eastAsia="Times New Roman" w:hAnsi="Arial" w:cs="Arial"/>
          <w:color w:val="000000"/>
          <w:sz w:val="20"/>
          <w:szCs w:val="20"/>
          <w:lang w:eastAsia="en-PH"/>
        </w:rPr>
        <w:t>below</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134"/>
        <w:gridCol w:w="1208"/>
        <w:gridCol w:w="2250"/>
      </w:tblGrid>
      <w:tr w:rsidR="00F12A73" w:rsidRPr="00F12A73" w:rsidTr="00C941AE">
        <w:trPr>
          <w:trHeight w:val="962"/>
        </w:trPr>
        <w:tc>
          <w:tcPr>
            <w:tcW w:w="4678" w:type="dxa"/>
          </w:tcPr>
          <w:p w:rsidR="00F12A73" w:rsidRPr="00F12A73" w:rsidRDefault="00F12A73" w:rsidP="00C941AE">
            <w:pPr>
              <w:jc w:val="center"/>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Cost Components</w:t>
            </w:r>
          </w:p>
        </w:tc>
        <w:tc>
          <w:tcPr>
            <w:tcW w:w="1134" w:type="dxa"/>
          </w:tcPr>
          <w:p w:rsidR="00F12A73" w:rsidRPr="00F12A73" w:rsidRDefault="00F12A73" w:rsidP="00C941AE">
            <w:pPr>
              <w:ind w:right="134"/>
              <w:jc w:val="center"/>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Unit Cost (USD)</w:t>
            </w:r>
          </w:p>
        </w:tc>
        <w:tc>
          <w:tcPr>
            <w:tcW w:w="1208" w:type="dxa"/>
          </w:tcPr>
          <w:p w:rsidR="00F12A73" w:rsidRPr="00F12A73" w:rsidRDefault="00F12A73" w:rsidP="00C941AE">
            <w:pPr>
              <w:ind w:right="72"/>
              <w:jc w:val="center"/>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Quantity</w:t>
            </w:r>
          </w:p>
        </w:tc>
        <w:tc>
          <w:tcPr>
            <w:tcW w:w="2250" w:type="dxa"/>
          </w:tcPr>
          <w:p w:rsidR="00F12A73" w:rsidRPr="00F12A73" w:rsidRDefault="00F12A73" w:rsidP="00C941AE">
            <w:pPr>
              <w:jc w:val="center"/>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Total Rate for the Contract Duration (USD)</w:t>
            </w:r>
          </w:p>
        </w:tc>
      </w:tr>
      <w:tr w:rsidR="00F12A73" w:rsidRPr="00F12A73" w:rsidTr="00C941AE">
        <w:tc>
          <w:tcPr>
            <w:tcW w:w="4678" w:type="dxa"/>
          </w:tcPr>
          <w:p w:rsidR="00F12A73" w:rsidRPr="00F12A73" w:rsidRDefault="00F12A73" w:rsidP="00F12A73">
            <w:pPr>
              <w:numPr>
                <w:ilvl w:val="0"/>
                <w:numId w:val="13"/>
              </w:numPr>
              <w:spacing w:after="0" w:line="240" w:lineRule="auto"/>
              <w:ind w:left="342" w:hanging="360"/>
              <w:contextualSpacing/>
              <w:jc w:val="both"/>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Personnel Costs</w:t>
            </w:r>
          </w:p>
        </w:tc>
        <w:tc>
          <w:tcPr>
            <w:tcW w:w="1134" w:type="dxa"/>
          </w:tcPr>
          <w:p w:rsidR="00F12A73" w:rsidRPr="00F12A73" w:rsidRDefault="00F12A73" w:rsidP="00C941AE">
            <w:pPr>
              <w:spacing w:after="0" w:line="240" w:lineRule="auto"/>
              <w:ind w:right="134"/>
              <w:jc w:val="center"/>
              <w:rPr>
                <w:rFonts w:ascii="Calibri" w:eastAsia="??" w:hAnsi="Calibri" w:cs="Calibri"/>
                <w:snapToGrid w:val="0"/>
                <w:sz w:val="24"/>
                <w:szCs w:val="24"/>
                <w:lang w:val="en-US" w:bidi="th-TH"/>
              </w:rPr>
            </w:pPr>
          </w:p>
        </w:tc>
        <w:tc>
          <w:tcPr>
            <w:tcW w:w="1208" w:type="dxa"/>
          </w:tcPr>
          <w:p w:rsidR="00F12A73" w:rsidRPr="00F12A73" w:rsidRDefault="00F12A73" w:rsidP="00C941AE">
            <w:pPr>
              <w:spacing w:after="0" w:line="240" w:lineRule="auto"/>
              <w:ind w:right="72"/>
              <w:jc w:val="center"/>
              <w:rPr>
                <w:rFonts w:ascii="Calibri" w:eastAsia="??" w:hAnsi="Calibri" w:cs="Calibri"/>
                <w:snapToGrid w:val="0"/>
                <w:sz w:val="24"/>
                <w:szCs w:val="24"/>
                <w:lang w:val="en-US" w:bidi="th-TH"/>
              </w:rPr>
            </w:pPr>
          </w:p>
        </w:tc>
        <w:tc>
          <w:tcPr>
            <w:tcW w:w="2250"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p>
        </w:tc>
      </w:tr>
      <w:tr w:rsidR="00F12A73" w:rsidRPr="00F12A73" w:rsidTr="00C941AE">
        <w:tc>
          <w:tcPr>
            <w:tcW w:w="4678" w:type="dxa"/>
          </w:tcPr>
          <w:p w:rsidR="00F12A73" w:rsidRPr="00F12A73" w:rsidRDefault="00F12A73" w:rsidP="00C941AE">
            <w:pPr>
              <w:spacing w:after="0" w:line="240" w:lineRule="auto"/>
              <w:jc w:val="both"/>
              <w:rPr>
                <w:rFonts w:ascii="Calibri" w:eastAsia="??" w:hAnsi="Calibri" w:cs="Calibri"/>
                <w:snapToGrid w:val="0"/>
                <w:sz w:val="24"/>
                <w:szCs w:val="24"/>
                <w:lang w:val="en-US" w:bidi="th-TH"/>
              </w:rPr>
            </w:pPr>
            <w:r w:rsidRPr="00F12A73">
              <w:rPr>
                <w:rFonts w:ascii="Calibri" w:eastAsia="??" w:hAnsi="Calibri" w:cs="Calibri"/>
                <w:snapToGrid w:val="0"/>
                <w:sz w:val="24"/>
                <w:szCs w:val="24"/>
                <w:lang w:val="en-US" w:bidi="th-TH"/>
              </w:rPr>
              <w:t xml:space="preserve">Professional Fee </w:t>
            </w:r>
          </w:p>
          <w:p w:rsidR="00F12A73" w:rsidRPr="00F12A73" w:rsidRDefault="00F12A73" w:rsidP="00C941AE">
            <w:pPr>
              <w:spacing w:after="0" w:line="240" w:lineRule="auto"/>
              <w:rPr>
                <w:rFonts w:ascii="Calibri" w:eastAsia="??" w:hAnsi="Calibri" w:cs="Calibri"/>
                <w:snapToGrid w:val="0"/>
                <w:sz w:val="10"/>
                <w:szCs w:val="10"/>
                <w:lang w:val="en-US" w:bidi="th-TH"/>
              </w:rPr>
            </w:pPr>
          </w:p>
          <w:p w:rsidR="00F12A73" w:rsidRPr="00F12A73" w:rsidRDefault="00F12A73" w:rsidP="00C941AE">
            <w:pPr>
              <w:spacing w:after="0" w:line="240" w:lineRule="auto"/>
              <w:rPr>
                <w:rFonts w:ascii="Calibri" w:eastAsia="??" w:hAnsi="Calibri" w:cs="Calibri"/>
                <w:snapToGrid w:val="0"/>
                <w:lang w:val="en-US" w:bidi="th-TH"/>
              </w:rPr>
            </w:pPr>
            <w:r w:rsidRPr="00F12A73">
              <w:rPr>
                <w:rFonts w:ascii="Calibri" w:eastAsia="??" w:hAnsi="Calibri" w:cs="Calibri"/>
                <w:snapToGrid w:val="0"/>
                <w:lang w:val="en-US" w:bidi="th-TH"/>
              </w:rPr>
              <w:t xml:space="preserve">Note: This assignment is home-based. </w:t>
            </w:r>
          </w:p>
          <w:p w:rsidR="00F12A73" w:rsidRPr="00F12A73" w:rsidRDefault="00F12A73" w:rsidP="00C941AE">
            <w:pPr>
              <w:spacing w:after="0" w:line="240" w:lineRule="auto"/>
              <w:rPr>
                <w:rFonts w:ascii="Calibri" w:eastAsia="??" w:hAnsi="Calibri" w:cs="Calibri"/>
                <w:snapToGrid w:val="0"/>
                <w:sz w:val="10"/>
                <w:szCs w:val="10"/>
                <w:lang w:val="en-US" w:bidi="th-TH"/>
              </w:rPr>
            </w:pPr>
          </w:p>
        </w:tc>
        <w:tc>
          <w:tcPr>
            <w:tcW w:w="1134"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p>
        </w:tc>
        <w:tc>
          <w:tcPr>
            <w:tcW w:w="1208"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r w:rsidRPr="00F12A73">
              <w:rPr>
                <w:rFonts w:ascii="Calibri" w:eastAsia="??" w:hAnsi="Calibri" w:cs="Calibri"/>
                <w:snapToGrid w:val="0"/>
                <w:sz w:val="24"/>
                <w:szCs w:val="24"/>
                <w:lang w:val="en-US" w:bidi="th-TH"/>
              </w:rPr>
              <w:t xml:space="preserve"> days</w:t>
            </w:r>
          </w:p>
        </w:tc>
        <w:tc>
          <w:tcPr>
            <w:tcW w:w="2250"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p>
        </w:tc>
      </w:tr>
      <w:tr w:rsidR="00F12A73" w:rsidRPr="00F12A73" w:rsidTr="00C941AE">
        <w:tc>
          <w:tcPr>
            <w:tcW w:w="4678" w:type="dxa"/>
          </w:tcPr>
          <w:p w:rsidR="00F12A73" w:rsidRPr="00F12A73" w:rsidRDefault="00F12A73" w:rsidP="00C941AE">
            <w:pPr>
              <w:spacing w:after="0" w:line="240" w:lineRule="auto"/>
              <w:jc w:val="both"/>
              <w:rPr>
                <w:rFonts w:ascii="Calibri" w:eastAsia="??" w:hAnsi="Calibri" w:cs="Calibri"/>
                <w:snapToGrid w:val="0"/>
                <w:sz w:val="24"/>
                <w:szCs w:val="24"/>
                <w:lang w:val="en-US" w:bidi="th-TH"/>
              </w:rPr>
            </w:pPr>
            <w:r w:rsidRPr="00F12A73">
              <w:rPr>
                <w:rFonts w:ascii="Calibri" w:eastAsia="??" w:hAnsi="Calibri" w:cs="Calibri"/>
                <w:snapToGrid w:val="0"/>
                <w:sz w:val="24"/>
                <w:szCs w:val="24"/>
                <w:lang w:val="en-US" w:bidi="th-TH"/>
              </w:rPr>
              <w:t>Others (pls. specify)</w:t>
            </w:r>
          </w:p>
        </w:tc>
        <w:tc>
          <w:tcPr>
            <w:tcW w:w="1134"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p>
        </w:tc>
        <w:tc>
          <w:tcPr>
            <w:tcW w:w="1208"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p>
        </w:tc>
        <w:tc>
          <w:tcPr>
            <w:tcW w:w="2250"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p>
        </w:tc>
      </w:tr>
      <w:tr w:rsidR="00F12A73" w:rsidRPr="00F12A73" w:rsidTr="00C941AE">
        <w:tc>
          <w:tcPr>
            <w:tcW w:w="4678" w:type="dxa"/>
          </w:tcPr>
          <w:p w:rsidR="00F12A73" w:rsidRPr="00F12A73" w:rsidRDefault="00F12A73" w:rsidP="00C941AE">
            <w:pPr>
              <w:spacing w:after="0" w:line="240" w:lineRule="auto"/>
              <w:jc w:val="both"/>
              <w:rPr>
                <w:rFonts w:ascii="Calibri" w:eastAsia="??" w:hAnsi="Calibri" w:cs="Calibri"/>
                <w:b/>
                <w:bCs/>
                <w:snapToGrid w:val="0"/>
                <w:sz w:val="24"/>
                <w:szCs w:val="24"/>
                <w:lang w:val="en-US" w:bidi="th-TH"/>
              </w:rPr>
            </w:pPr>
            <w:r w:rsidRPr="00F12A73">
              <w:rPr>
                <w:rFonts w:ascii="Calibri" w:eastAsia="??" w:hAnsi="Calibri" w:cs="Calibri"/>
                <w:b/>
                <w:bCs/>
                <w:snapToGrid w:val="0"/>
                <w:sz w:val="24"/>
                <w:szCs w:val="24"/>
                <w:lang w:val="en-US" w:bidi="th-TH"/>
              </w:rPr>
              <w:t>TOTAL</w:t>
            </w:r>
          </w:p>
        </w:tc>
        <w:tc>
          <w:tcPr>
            <w:tcW w:w="1134"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p>
        </w:tc>
        <w:tc>
          <w:tcPr>
            <w:tcW w:w="1208"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p>
        </w:tc>
        <w:tc>
          <w:tcPr>
            <w:tcW w:w="2250" w:type="dxa"/>
          </w:tcPr>
          <w:p w:rsidR="00F12A73" w:rsidRPr="00F12A73" w:rsidRDefault="00F12A73" w:rsidP="00C941AE">
            <w:pPr>
              <w:spacing w:after="0" w:line="240" w:lineRule="auto"/>
              <w:jc w:val="center"/>
              <w:rPr>
                <w:rFonts w:ascii="Calibri" w:eastAsia="??" w:hAnsi="Calibri" w:cs="Calibri"/>
                <w:snapToGrid w:val="0"/>
                <w:sz w:val="24"/>
                <w:szCs w:val="24"/>
                <w:lang w:val="en-US" w:bidi="th-TH"/>
              </w:rPr>
            </w:pPr>
          </w:p>
        </w:tc>
      </w:tr>
    </w:tbl>
    <w:p w:rsidR="00F12A73" w:rsidRPr="00F12A73" w:rsidRDefault="00F12A73" w:rsidP="00F12A73">
      <w:pPr>
        <w:widowControl w:val="0"/>
        <w:overflowPunct w:val="0"/>
        <w:adjustRightInd w:val="0"/>
        <w:spacing w:after="0" w:line="240" w:lineRule="auto"/>
        <w:contextualSpacing/>
        <w:rPr>
          <w:rFonts w:ascii="Calibri" w:eastAsia="??" w:hAnsi="Calibri" w:cs="Cordia New"/>
          <w:b/>
          <w:bCs/>
          <w:sz w:val="24"/>
          <w:szCs w:val="24"/>
          <w:lang w:val="en-US" w:bidi="th-TH"/>
        </w:rPr>
      </w:pPr>
    </w:p>
    <w:p w:rsidR="00F12A73" w:rsidRPr="00F12A73" w:rsidRDefault="00F12A73" w:rsidP="00F12A73">
      <w:pPr>
        <w:widowControl w:val="0"/>
        <w:overflowPunct w:val="0"/>
        <w:adjustRightInd w:val="0"/>
        <w:spacing w:after="0" w:line="240" w:lineRule="auto"/>
        <w:contextualSpacing/>
        <w:rPr>
          <w:rFonts w:ascii="Calibri" w:eastAsia="??" w:hAnsi="Calibri" w:cs="Cordia New"/>
          <w:sz w:val="24"/>
          <w:szCs w:val="24"/>
          <w:lang w:val="en-US" w:bidi="th-TH"/>
        </w:rPr>
      </w:pPr>
      <w:r w:rsidRPr="00F12A73">
        <w:rPr>
          <w:rFonts w:ascii="Calibri" w:eastAsia="??" w:hAnsi="Calibri" w:cs="Cordia New"/>
          <w:b/>
          <w:bCs/>
          <w:sz w:val="24"/>
          <w:szCs w:val="24"/>
          <w:lang w:val="en-US" w:bidi="th-TH"/>
        </w:rPr>
        <w:t>Note:</w:t>
      </w:r>
      <w:r w:rsidRPr="00F12A73">
        <w:rPr>
          <w:rFonts w:ascii="Calibri" w:eastAsia="??" w:hAnsi="Calibri" w:cs="Cordia New"/>
          <w:sz w:val="24"/>
          <w:szCs w:val="24"/>
          <w:lang w:val="en-US" w:bidi="th-TH"/>
        </w:rPr>
        <w:t xml:space="preserve"> </w:t>
      </w:r>
    </w:p>
    <w:p w:rsidR="00F12A73" w:rsidRPr="00F12A73" w:rsidRDefault="00F12A73" w:rsidP="00F12A73">
      <w:pPr>
        <w:widowControl w:val="0"/>
        <w:numPr>
          <w:ilvl w:val="0"/>
          <w:numId w:val="15"/>
        </w:numPr>
        <w:overflowPunct w:val="0"/>
        <w:adjustRightInd w:val="0"/>
        <w:spacing w:after="0" w:line="240" w:lineRule="auto"/>
        <w:contextualSpacing/>
        <w:rPr>
          <w:rFonts w:ascii="Calibri" w:eastAsia="??" w:hAnsi="Calibri" w:cs="Cordia New"/>
          <w:lang w:val="en-US" w:bidi="th-TH"/>
        </w:rPr>
      </w:pPr>
      <w:r w:rsidRPr="00F12A73">
        <w:rPr>
          <w:rFonts w:ascii="Calibri" w:eastAsia="??" w:hAnsi="Calibri" w:cs="Cordia New"/>
          <w:lang w:val="en-US" w:bidi="th-TH"/>
        </w:rPr>
        <w:t>It is understood that the consultant would not hold UNODC responsible for any unforeseen or untoward incident during the duration of the consultancy. It is recommended that the consultant secure his/her own life, medical, and travel insurance coverage during the conduct of the consultancy.</w:t>
      </w:r>
    </w:p>
    <w:p w:rsidR="00F12A73" w:rsidRPr="00F12A73" w:rsidRDefault="00F12A73" w:rsidP="00F12A73">
      <w:pPr>
        <w:numPr>
          <w:ilvl w:val="0"/>
          <w:numId w:val="15"/>
        </w:numPr>
        <w:contextualSpacing/>
        <w:rPr>
          <w:rFonts w:ascii="Calibri" w:eastAsia="??" w:hAnsi="Calibri" w:cs="Times New Roman"/>
          <w:color w:val="000000"/>
          <w:lang w:val="en-GB" w:bidi="th-TH"/>
        </w:rPr>
      </w:pPr>
      <w:r w:rsidRPr="00F12A73">
        <w:rPr>
          <w:rFonts w:ascii="Calibri" w:eastAsia="??" w:hAnsi="Calibri" w:cs="Cordia New"/>
          <w:lang w:val="en-US" w:bidi="th-TH"/>
        </w:rPr>
        <w:t xml:space="preserve">This procurement notice opens only to residents of Asia and Pacific countries. </w:t>
      </w:r>
      <w:r w:rsidRPr="00F12A73">
        <w:rPr>
          <w:rFonts w:ascii="Calibri" w:eastAsia="??" w:hAnsi="Calibri" w:cs="Times New Roman"/>
          <w:color w:val="000000"/>
          <w:lang w:val="en-GB" w:bidi="th-TH"/>
        </w:rPr>
        <w:t xml:space="preserve">Proof is required before award of contract.  </w:t>
      </w:r>
    </w:p>
    <w:p w:rsidR="00F12A73" w:rsidRPr="00F12A73" w:rsidRDefault="004775C3" w:rsidP="00F12A73">
      <w:pPr>
        <w:pStyle w:val="ListParagraph"/>
        <w:widowControl w:val="0"/>
        <w:numPr>
          <w:ilvl w:val="0"/>
          <w:numId w:val="12"/>
        </w:numPr>
        <w:overflowPunct w:val="0"/>
        <w:adjustRightInd w:val="0"/>
        <w:spacing w:after="0" w:line="240" w:lineRule="auto"/>
        <w:ind w:hanging="360"/>
        <w:rPr>
          <w:rFonts w:ascii="Calibri" w:eastAsia="??" w:hAnsi="Calibri" w:cs="Calibri"/>
          <w:b/>
          <w:snapToGrid w:val="0"/>
          <w:sz w:val="24"/>
          <w:szCs w:val="24"/>
          <w:lang w:val="en-US" w:bidi="th-TH"/>
        </w:rPr>
      </w:pPr>
      <w:r>
        <w:rPr>
          <w:rFonts w:eastAsia="Times New Roman" w:cstheme="minorHAnsi"/>
          <w:b/>
          <w:snapToGrid w:val="0"/>
        </w:rPr>
        <w:br w:type="page"/>
      </w:r>
      <w:r w:rsidR="00F12A73" w:rsidRPr="00F12A73">
        <w:rPr>
          <w:rFonts w:ascii="Calibri" w:eastAsia="??" w:hAnsi="Calibri" w:cs="Calibri"/>
          <w:b/>
          <w:snapToGrid w:val="0"/>
          <w:sz w:val="24"/>
          <w:szCs w:val="24"/>
          <w:lang w:val="en-US" w:bidi="th-TH"/>
        </w:rPr>
        <w:t xml:space="preserve">Breakdown of </w:t>
      </w:r>
      <w:r w:rsidR="00F12A73" w:rsidRPr="00F12A73">
        <w:rPr>
          <w:rFonts w:ascii="Calibri" w:eastAsia="??" w:hAnsi="Calibri" w:cs="Calibri"/>
          <w:b/>
          <w:snapToGrid w:val="0"/>
          <w:sz w:val="24"/>
          <w:szCs w:val="24"/>
          <w:u w:val="single"/>
          <w:lang w:val="en-US" w:bidi="th-TH"/>
        </w:rPr>
        <w:t>Professional Fee</w:t>
      </w:r>
      <w:r w:rsidR="00F12A73" w:rsidRPr="00F12A73">
        <w:rPr>
          <w:rFonts w:ascii="Calibri" w:eastAsia="??" w:hAnsi="Calibri" w:cs="Calibri"/>
          <w:b/>
          <w:snapToGrid w:val="0"/>
          <w:sz w:val="24"/>
          <w:szCs w:val="24"/>
          <w:lang w:val="en-US" w:bidi="th-TH"/>
        </w:rPr>
        <w:t xml:space="preserve"> by Outputs*</w:t>
      </w:r>
    </w:p>
    <w:p w:rsidR="00F12A73" w:rsidRPr="00F12A73" w:rsidRDefault="00F12A73" w:rsidP="00F12A73">
      <w:pPr>
        <w:rPr>
          <w:rFonts w:ascii="Calibri" w:eastAsia="??" w:hAnsi="Calibri" w:cs="Calibri"/>
          <w:snapToGrid w:val="0"/>
          <w:sz w:val="24"/>
          <w:szCs w:val="24"/>
          <w:lang w:val="en-US" w:bidi="th-TH"/>
        </w:rPr>
      </w:pPr>
    </w:p>
    <w:tbl>
      <w:tblPr>
        <w:tblW w:w="877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3"/>
        <w:gridCol w:w="1437"/>
        <w:gridCol w:w="1775"/>
      </w:tblGrid>
      <w:tr w:rsidR="00F12A73" w:rsidRPr="00F12A73" w:rsidTr="00C941AE">
        <w:tc>
          <w:tcPr>
            <w:tcW w:w="5563" w:type="dxa"/>
          </w:tcPr>
          <w:p w:rsidR="00F12A73" w:rsidRPr="00F12A73" w:rsidRDefault="00F12A73" w:rsidP="00F12A73">
            <w:pPr>
              <w:spacing w:after="0" w:line="240" w:lineRule="auto"/>
              <w:jc w:val="center"/>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Deliverables with timeline</w:t>
            </w:r>
          </w:p>
          <w:p w:rsidR="00F12A73" w:rsidRPr="00F12A73" w:rsidRDefault="00F12A73" w:rsidP="00F12A73">
            <w:pPr>
              <w:spacing w:after="0" w:line="240" w:lineRule="auto"/>
              <w:jc w:val="center"/>
              <w:rPr>
                <w:rFonts w:ascii="Calibri" w:eastAsia="??" w:hAnsi="Calibri" w:cs="Calibri"/>
                <w:i/>
                <w:snapToGrid w:val="0"/>
                <w:sz w:val="24"/>
                <w:szCs w:val="24"/>
                <w:lang w:val="en-US" w:bidi="th-TH"/>
              </w:rPr>
            </w:pPr>
          </w:p>
        </w:tc>
        <w:tc>
          <w:tcPr>
            <w:tcW w:w="1437" w:type="dxa"/>
          </w:tcPr>
          <w:p w:rsidR="00F12A73" w:rsidRPr="00F12A73" w:rsidRDefault="00F12A73" w:rsidP="00F12A73">
            <w:pPr>
              <w:spacing w:after="0" w:line="240" w:lineRule="auto"/>
              <w:jc w:val="center"/>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 xml:space="preserve">Percentage of Total Price </w:t>
            </w:r>
          </w:p>
          <w:p w:rsidR="00F12A73" w:rsidRPr="00F12A73" w:rsidRDefault="00F12A73" w:rsidP="00F12A73">
            <w:pPr>
              <w:spacing w:after="0" w:line="240" w:lineRule="auto"/>
              <w:jc w:val="center"/>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(Weight for payment)</w:t>
            </w:r>
          </w:p>
        </w:tc>
        <w:tc>
          <w:tcPr>
            <w:tcW w:w="1775" w:type="dxa"/>
          </w:tcPr>
          <w:p w:rsidR="00F12A73" w:rsidRPr="00F12A73" w:rsidRDefault="00F12A73" w:rsidP="00F12A73">
            <w:pPr>
              <w:spacing w:after="0" w:line="240" w:lineRule="auto"/>
              <w:jc w:val="center"/>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Amount</w:t>
            </w:r>
          </w:p>
          <w:p w:rsidR="00F12A73" w:rsidRPr="00F12A73" w:rsidRDefault="00F12A73" w:rsidP="00F12A73">
            <w:pPr>
              <w:spacing w:after="0" w:line="240" w:lineRule="auto"/>
              <w:jc w:val="center"/>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(USD)</w:t>
            </w:r>
          </w:p>
        </w:tc>
      </w:tr>
      <w:tr w:rsidR="00F12A73" w:rsidRPr="00F12A73" w:rsidTr="00C941AE">
        <w:tc>
          <w:tcPr>
            <w:tcW w:w="5563" w:type="dxa"/>
          </w:tcPr>
          <w:p w:rsidR="00F12A73" w:rsidRPr="00F12A73" w:rsidRDefault="00F12A73" w:rsidP="008C78C3">
            <w:pPr>
              <w:spacing w:after="120"/>
              <w:ind w:left="720"/>
              <w:contextualSpacing/>
              <w:rPr>
                <w:rFonts w:ascii="Calibri" w:eastAsia="??" w:hAnsi="Calibri" w:cs="Cordia New"/>
                <w:bCs/>
                <w:sz w:val="24"/>
                <w:szCs w:val="24"/>
                <w:lang w:val="en-US" w:bidi="th-TH"/>
              </w:rPr>
            </w:pPr>
          </w:p>
        </w:tc>
        <w:tc>
          <w:tcPr>
            <w:tcW w:w="1437" w:type="dxa"/>
          </w:tcPr>
          <w:p w:rsidR="00F12A73" w:rsidRPr="00F12A73" w:rsidRDefault="00F12A73" w:rsidP="00F12A73">
            <w:pPr>
              <w:spacing w:after="0" w:line="240" w:lineRule="auto"/>
              <w:jc w:val="center"/>
              <w:rPr>
                <w:rFonts w:ascii="Calibri" w:eastAsia="??" w:hAnsi="Calibri" w:cs="Calibri"/>
                <w:snapToGrid w:val="0"/>
                <w:sz w:val="24"/>
                <w:szCs w:val="24"/>
                <w:lang w:val="en-US" w:bidi="th-TH"/>
              </w:rPr>
            </w:pPr>
          </w:p>
        </w:tc>
        <w:tc>
          <w:tcPr>
            <w:tcW w:w="1775" w:type="dxa"/>
          </w:tcPr>
          <w:p w:rsidR="00F12A73" w:rsidRPr="00F12A73" w:rsidRDefault="00F12A73" w:rsidP="00F12A73">
            <w:pPr>
              <w:spacing w:after="0" w:line="240" w:lineRule="auto"/>
              <w:rPr>
                <w:rFonts w:ascii="Calibri" w:eastAsia="??" w:hAnsi="Calibri" w:cs="Calibri"/>
                <w:snapToGrid w:val="0"/>
                <w:sz w:val="24"/>
                <w:szCs w:val="24"/>
                <w:lang w:val="en-US" w:bidi="th-TH"/>
              </w:rPr>
            </w:pPr>
          </w:p>
        </w:tc>
      </w:tr>
      <w:tr w:rsidR="00F12A73" w:rsidRPr="00F12A73" w:rsidTr="00C941AE">
        <w:tc>
          <w:tcPr>
            <w:tcW w:w="5563" w:type="dxa"/>
          </w:tcPr>
          <w:p w:rsidR="00F12A73" w:rsidRPr="00F12A73" w:rsidRDefault="00F12A73" w:rsidP="008C78C3">
            <w:pPr>
              <w:spacing w:after="120"/>
              <w:ind w:left="720"/>
              <w:contextualSpacing/>
              <w:rPr>
                <w:rFonts w:ascii="Calibri" w:eastAsia="??" w:hAnsi="Calibri" w:cs="Cordia New"/>
                <w:bCs/>
                <w:sz w:val="24"/>
                <w:szCs w:val="24"/>
                <w:lang w:val="en-US" w:bidi="th-TH"/>
              </w:rPr>
            </w:pPr>
          </w:p>
        </w:tc>
        <w:tc>
          <w:tcPr>
            <w:tcW w:w="1437" w:type="dxa"/>
          </w:tcPr>
          <w:p w:rsidR="00F12A73" w:rsidRPr="00F12A73" w:rsidRDefault="00F12A73" w:rsidP="00F12A73">
            <w:pPr>
              <w:spacing w:after="0" w:line="240" w:lineRule="auto"/>
              <w:jc w:val="center"/>
              <w:rPr>
                <w:rFonts w:ascii="Calibri" w:eastAsia="??" w:hAnsi="Calibri" w:cs="Calibri"/>
                <w:snapToGrid w:val="0"/>
                <w:sz w:val="24"/>
                <w:szCs w:val="24"/>
                <w:lang w:val="en-US" w:bidi="th-TH"/>
              </w:rPr>
            </w:pPr>
          </w:p>
        </w:tc>
        <w:tc>
          <w:tcPr>
            <w:tcW w:w="1775" w:type="dxa"/>
          </w:tcPr>
          <w:p w:rsidR="00F12A73" w:rsidRPr="00F12A73" w:rsidRDefault="00F12A73" w:rsidP="00F12A73">
            <w:pPr>
              <w:spacing w:after="0" w:line="240" w:lineRule="auto"/>
              <w:rPr>
                <w:rFonts w:ascii="Calibri" w:eastAsia="??" w:hAnsi="Calibri" w:cs="Calibri"/>
                <w:snapToGrid w:val="0"/>
                <w:sz w:val="24"/>
                <w:szCs w:val="24"/>
                <w:lang w:val="en-US" w:bidi="th-TH"/>
              </w:rPr>
            </w:pPr>
          </w:p>
        </w:tc>
      </w:tr>
      <w:tr w:rsidR="00F12A73" w:rsidRPr="00F12A73" w:rsidTr="00C941AE">
        <w:tc>
          <w:tcPr>
            <w:tcW w:w="5563" w:type="dxa"/>
          </w:tcPr>
          <w:p w:rsidR="00F12A73" w:rsidRPr="00F12A73" w:rsidRDefault="00F12A73" w:rsidP="008C78C3">
            <w:pPr>
              <w:spacing w:after="120"/>
              <w:ind w:left="720"/>
              <w:contextualSpacing/>
              <w:rPr>
                <w:rFonts w:ascii="Calibri" w:eastAsia="??" w:hAnsi="Calibri" w:cs="Cordia New"/>
                <w:bCs/>
                <w:sz w:val="24"/>
                <w:szCs w:val="24"/>
                <w:lang w:val="en-US" w:bidi="th-TH"/>
              </w:rPr>
            </w:pPr>
          </w:p>
        </w:tc>
        <w:tc>
          <w:tcPr>
            <w:tcW w:w="1437" w:type="dxa"/>
          </w:tcPr>
          <w:p w:rsidR="00F12A73" w:rsidRPr="00F12A73" w:rsidRDefault="00F12A73" w:rsidP="00F12A73">
            <w:pPr>
              <w:spacing w:after="0" w:line="240" w:lineRule="auto"/>
              <w:jc w:val="center"/>
              <w:rPr>
                <w:rFonts w:ascii="Calibri" w:eastAsia="??" w:hAnsi="Calibri" w:cs="Calibri"/>
                <w:snapToGrid w:val="0"/>
                <w:sz w:val="24"/>
                <w:szCs w:val="24"/>
                <w:lang w:val="en-US" w:bidi="th-TH"/>
              </w:rPr>
            </w:pPr>
          </w:p>
        </w:tc>
        <w:tc>
          <w:tcPr>
            <w:tcW w:w="1775" w:type="dxa"/>
          </w:tcPr>
          <w:p w:rsidR="00F12A73" w:rsidRPr="00F12A73" w:rsidRDefault="00F12A73" w:rsidP="00F12A73">
            <w:pPr>
              <w:spacing w:after="0" w:line="240" w:lineRule="auto"/>
              <w:rPr>
                <w:rFonts w:ascii="Calibri" w:eastAsia="??" w:hAnsi="Calibri" w:cs="Calibri"/>
                <w:snapToGrid w:val="0"/>
                <w:sz w:val="24"/>
                <w:szCs w:val="24"/>
                <w:lang w:val="en-US" w:bidi="th-TH"/>
              </w:rPr>
            </w:pPr>
          </w:p>
        </w:tc>
      </w:tr>
      <w:tr w:rsidR="00F12A73" w:rsidRPr="00F12A73" w:rsidTr="00C941AE">
        <w:tc>
          <w:tcPr>
            <w:tcW w:w="5563" w:type="dxa"/>
          </w:tcPr>
          <w:p w:rsidR="00F12A73" w:rsidRPr="00F12A73" w:rsidRDefault="00F12A73" w:rsidP="008C78C3">
            <w:pPr>
              <w:spacing w:after="120"/>
              <w:ind w:left="720"/>
              <w:contextualSpacing/>
              <w:rPr>
                <w:rFonts w:ascii="Calibri" w:eastAsia="??" w:hAnsi="Calibri" w:cs="Cordia New"/>
                <w:bCs/>
                <w:sz w:val="24"/>
                <w:szCs w:val="24"/>
                <w:lang w:val="en-US" w:bidi="th-TH"/>
              </w:rPr>
            </w:pPr>
          </w:p>
        </w:tc>
        <w:tc>
          <w:tcPr>
            <w:tcW w:w="1437" w:type="dxa"/>
          </w:tcPr>
          <w:p w:rsidR="00F12A73" w:rsidRPr="00F12A73" w:rsidRDefault="00F12A73" w:rsidP="00F12A73">
            <w:pPr>
              <w:spacing w:after="0" w:line="240" w:lineRule="auto"/>
              <w:jc w:val="center"/>
              <w:rPr>
                <w:rFonts w:ascii="Calibri" w:eastAsia="??" w:hAnsi="Calibri" w:cs="Calibri"/>
                <w:snapToGrid w:val="0"/>
                <w:sz w:val="24"/>
                <w:szCs w:val="24"/>
                <w:lang w:val="en-US" w:bidi="th-TH"/>
              </w:rPr>
            </w:pPr>
          </w:p>
        </w:tc>
        <w:tc>
          <w:tcPr>
            <w:tcW w:w="1775" w:type="dxa"/>
          </w:tcPr>
          <w:p w:rsidR="00F12A73" w:rsidRPr="00F12A73" w:rsidRDefault="00F12A73" w:rsidP="00F12A73">
            <w:pPr>
              <w:spacing w:after="0" w:line="240" w:lineRule="auto"/>
              <w:rPr>
                <w:rFonts w:ascii="Calibri" w:eastAsia="??" w:hAnsi="Calibri" w:cs="Calibri"/>
                <w:snapToGrid w:val="0"/>
                <w:sz w:val="24"/>
                <w:szCs w:val="24"/>
                <w:lang w:val="en-US" w:bidi="th-TH"/>
              </w:rPr>
            </w:pPr>
          </w:p>
        </w:tc>
      </w:tr>
      <w:tr w:rsidR="00F12A73" w:rsidRPr="00F12A73" w:rsidTr="00C941AE">
        <w:tc>
          <w:tcPr>
            <w:tcW w:w="5563" w:type="dxa"/>
          </w:tcPr>
          <w:p w:rsidR="00F12A73" w:rsidRPr="00F12A73" w:rsidRDefault="00F12A73" w:rsidP="00F12A73">
            <w:pPr>
              <w:spacing w:after="0" w:line="240" w:lineRule="auto"/>
              <w:jc w:val="right"/>
              <w:rPr>
                <w:rFonts w:ascii="Calibri" w:eastAsia="??" w:hAnsi="Calibri" w:cs="Calibri"/>
                <w:snapToGrid w:val="0"/>
                <w:sz w:val="24"/>
                <w:szCs w:val="24"/>
                <w:lang w:val="en-US" w:bidi="th-TH"/>
              </w:rPr>
            </w:pPr>
            <w:r w:rsidRPr="00F12A73">
              <w:rPr>
                <w:rFonts w:ascii="Calibri" w:eastAsia="??" w:hAnsi="Calibri" w:cs="Calibri"/>
                <w:snapToGrid w:val="0"/>
                <w:sz w:val="24"/>
                <w:szCs w:val="24"/>
                <w:lang w:val="en-US" w:bidi="th-TH"/>
              </w:rPr>
              <w:t xml:space="preserve">Total </w:t>
            </w:r>
          </w:p>
        </w:tc>
        <w:tc>
          <w:tcPr>
            <w:tcW w:w="1437" w:type="dxa"/>
          </w:tcPr>
          <w:p w:rsidR="00F12A73" w:rsidRPr="00F12A73" w:rsidRDefault="00F12A73" w:rsidP="00F12A73">
            <w:pPr>
              <w:spacing w:after="0" w:line="240" w:lineRule="auto"/>
              <w:jc w:val="center"/>
              <w:rPr>
                <w:rFonts w:ascii="Calibri" w:eastAsia="??" w:hAnsi="Calibri" w:cs="Calibri"/>
                <w:snapToGrid w:val="0"/>
                <w:sz w:val="24"/>
                <w:szCs w:val="24"/>
                <w:lang w:val="en-US" w:bidi="th-TH"/>
              </w:rPr>
            </w:pPr>
            <w:r w:rsidRPr="00F12A73">
              <w:rPr>
                <w:rFonts w:ascii="Calibri" w:eastAsia="??" w:hAnsi="Calibri" w:cs="Calibri"/>
                <w:snapToGrid w:val="0"/>
                <w:sz w:val="24"/>
                <w:szCs w:val="24"/>
                <w:lang w:val="en-US" w:bidi="th-TH"/>
              </w:rPr>
              <w:t>100%</w:t>
            </w:r>
          </w:p>
          <w:p w:rsidR="00F12A73" w:rsidRPr="00F12A73" w:rsidRDefault="00F12A73" w:rsidP="00F12A73">
            <w:pPr>
              <w:spacing w:after="0" w:line="240" w:lineRule="auto"/>
              <w:jc w:val="center"/>
              <w:rPr>
                <w:rFonts w:ascii="Calibri" w:eastAsia="??" w:hAnsi="Calibri" w:cs="Calibri"/>
                <w:snapToGrid w:val="0"/>
                <w:sz w:val="24"/>
                <w:szCs w:val="24"/>
                <w:lang w:val="en-US" w:bidi="th-TH"/>
              </w:rPr>
            </w:pPr>
          </w:p>
        </w:tc>
        <w:tc>
          <w:tcPr>
            <w:tcW w:w="1775" w:type="dxa"/>
          </w:tcPr>
          <w:p w:rsidR="00F12A73" w:rsidRPr="00F12A73" w:rsidRDefault="00F12A73" w:rsidP="00F12A73">
            <w:pPr>
              <w:spacing w:after="0" w:line="240" w:lineRule="auto"/>
              <w:rPr>
                <w:rFonts w:ascii="Calibri" w:eastAsia="??" w:hAnsi="Calibri" w:cs="Calibri"/>
                <w:snapToGrid w:val="0"/>
                <w:sz w:val="24"/>
                <w:szCs w:val="24"/>
                <w:lang w:val="en-US" w:bidi="th-TH"/>
              </w:rPr>
            </w:pPr>
          </w:p>
        </w:tc>
      </w:tr>
    </w:tbl>
    <w:p w:rsidR="00F12A73" w:rsidRPr="00F12A73" w:rsidRDefault="00F12A73" w:rsidP="00F12A73">
      <w:pPr>
        <w:ind w:left="360"/>
        <w:rPr>
          <w:rFonts w:ascii="Calibri" w:eastAsia="??" w:hAnsi="Calibri" w:cs="Calibri"/>
          <w:i/>
          <w:snapToGrid w:val="0"/>
          <w:sz w:val="24"/>
          <w:szCs w:val="24"/>
          <w:lang w:val="en-US" w:bidi="th-TH"/>
        </w:rPr>
      </w:pPr>
      <w:r w:rsidRPr="00F12A73">
        <w:rPr>
          <w:rFonts w:ascii="Calibri" w:eastAsia="??" w:hAnsi="Calibri" w:cs="Calibri"/>
          <w:i/>
          <w:snapToGrid w:val="0"/>
          <w:sz w:val="24"/>
          <w:szCs w:val="24"/>
          <w:lang w:val="en-US" w:bidi="th-TH"/>
        </w:rPr>
        <w:t>*Basis for payment tranches</w:t>
      </w:r>
      <w:r>
        <w:rPr>
          <w:rFonts w:ascii="Calibri" w:eastAsia="??" w:hAnsi="Calibri" w:cs="Calibri"/>
          <w:i/>
          <w:snapToGrid w:val="0"/>
          <w:sz w:val="24"/>
          <w:szCs w:val="24"/>
          <w:lang w:val="en-US" w:bidi="th-TH"/>
        </w:rPr>
        <w:t xml:space="preserve"> as per ToR</w:t>
      </w:r>
      <w:r w:rsidRPr="00F12A73">
        <w:rPr>
          <w:rFonts w:ascii="Calibri" w:eastAsia="??" w:hAnsi="Calibri" w:cs="Calibri"/>
          <w:i/>
          <w:snapToGrid w:val="0"/>
          <w:sz w:val="24"/>
          <w:szCs w:val="24"/>
          <w:lang w:val="en-US" w:bidi="th-TH"/>
        </w:rPr>
        <w:t xml:space="preserve">. All outputs must be of satisfactory quality. </w:t>
      </w:r>
    </w:p>
    <w:p w:rsidR="00F12A73" w:rsidRPr="00F12A73" w:rsidRDefault="00F12A73" w:rsidP="00F12A73">
      <w:pPr>
        <w:spacing w:after="0" w:line="240" w:lineRule="auto"/>
        <w:contextualSpacing/>
        <w:jc w:val="center"/>
        <w:rPr>
          <w:rFonts w:ascii="Arial" w:eastAsia="??" w:hAnsi="Arial" w:cs="Cordia New"/>
          <w:b/>
          <w:color w:val="000000"/>
          <w:sz w:val="24"/>
          <w:szCs w:val="24"/>
          <w:lang w:val="en-US" w:eastAsia="en-PH" w:bidi="th-TH"/>
        </w:rPr>
      </w:pPr>
    </w:p>
    <w:p w:rsidR="00F12A73" w:rsidRPr="00F12A73" w:rsidRDefault="00F12A73" w:rsidP="00F12A73">
      <w:pPr>
        <w:rPr>
          <w:rFonts w:ascii="Calibri" w:eastAsia="??" w:hAnsi="Calibri" w:cs="Calibri"/>
          <w:b/>
          <w:snapToGrid w:val="0"/>
          <w:sz w:val="24"/>
          <w:szCs w:val="24"/>
          <w:u w:val="single"/>
          <w:lang w:val="en-US" w:bidi="th-TH"/>
        </w:rPr>
      </w:pPr>
      <w:r w:rsidRPr="00F12A73">
        <w:rPr>
          <w:rFonts w:ascii="Calibri" w:eastAsia="??" w:hAnsi="Calibri" w:cs="Calibri"/>
          <w:b/>
          <w:snapToGrid w:val="0"/>
          <w:sz w:val="24"/>
          <w:szCs w:val="24"/>
          <w:u w:val="single"/>
          <w:lang w:val="en-US" w:bidi="th-TH"/>
        </w:rPr>
        <w:t>Proposed by:</w:t>
      </w:r>
    </w:p>
    <w:p w:rsidR="00F12A73" w:rsidRPr="00F12A73" w:rsidRDefault="00F12A73" w:rsidP="00F12A73">
      <w:pPr>
        <w:ind w:left="720" w:hanging="720"/>
        <w:contextualSpacing/>
        <w:rPr>
          <w:rFonts w:ascii="Calibri" w:eastAsia="??" w:hAnsi="Calibri" w:cs="Calibri"/>
          <w:b/>
          <w:snapToGrid w:val="0"/>
          <w:sz w:val="24"/>
          <w:szCs w:val="24"/>
          <w:lang w:val="en-US" w:bidi="th-TH"/>
        </w:rPr>
      </w:pPr>
    </w:p>
    <w:p w:rsidR="00F12A73" w:rsidRPr="00F12A73" w:rsidRDefault="00F12A73" w:rsidP="00F12A73">
      <w:pPr>
        <w:ind w:left="720" w:hanging="720"/>
        <w:contextualSpacing/>
        <w:rPr>
          <w:rFonts w:ascii="Calibri" w:eastAsia="??" w:hAnsi="Calibri" w:cs="Calibri"/>
          <w:b/>
          <w:snapToGrid w:val="0"/>
          <w:sz w:val="24"/>
          <w:szCs w:val="24"/>
          <w:lang w:val="en-US" w:bidi="th-TH"/>
        </w:rPr>
      </w:pPr>
      <w:r w:rsidRPr="00F12A73">
        <w:rPr>
          <w:rFonts w:ascii="Calibri" w:eastAsia="??" w:hAnsi="Calibri" w:cs="Calibri"/>
          <w:b/>
          <w:snapToGrid w:val="0"/>
          <w:sz w:val="24"/>
          <w:szCs w:val="24"/>
          <w:lang w:val="en-US" w:bidi="th-TH"/>
        </w:rPr>
        <w:t>Name:                                                     Signature:                                           Date:</w:t>
      </w:r>
    </w:p>
    <w:tbl>
      <w:tblPr>
        <w:tblStyle w:val="TableGrid2"/>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tblGrid>
      <w:tr w:rsidR="00F12A73" w:rsidRPr="00F12A73" w:rsidTr="00C941AE">
        <w:tc>
          <w:tcPr>
            <w:tcW w:w="8523" w:type="dxa"/>
          </w:tcPr>
          <w:p w:rsidR="00F12A73" w:rsidRPr="00F12A73" w:rsidRDefault="00F12A73" w:rsidP="00F12A73">
            <w:pPr>
              <w:spacing w:after="200" w:line="276" w:lineRule="auto"/>
              <w:contextualSpacing/>
              <w:rPr>
                <w:rFonts w:cs="Times New Roman"/>
                <w:color w:val="000000"/>
                <w:sz w:val="21"/>
                <w:szCs w:val="21"/>
                <w:lang w:val="en-GB"/>
              </w:rPr>
            </w:pPr>
          </w:p>
        </w:tc>
      </w:tr>
    </w:tbl>
    <w:p w:rsidR="000E611D" w:rsidRPr="000E611D" w:rsidRDefault="000E611D" w:rsidP="00F12A73">
      <w:pPr>
        <w:pStyle w:val="ListParagraph"/>
        <w:spacing w:after="0" w:line="360" w:lineRule="auto"/>
        <w:ind w:left="0"/>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60" w:rsidRDefault="00631960" w:rsidP="005F5227">
      <w:pPr>
        <w:spacing w:after="0" w:line="240" w:lineRule="auto"/>
      </w:pPr>
      <w:r>
        <w:separator/>
      </w:r>
    </w:p>
  </w:endnote>
  <w:endnote w:type="continuationSeparator" w:id="0">
    <w:p w:rsidR="00631960" w:rsidRDefault="00631960"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60" w:rsidRDefault="00631960" w:rsidP="005F5227">
      <w:pPr>
        <w:spacing w:after="0" w:line="240" w:lineRule="auto"/>
      </w:pPr>
      <w:r>
        <w:separator/>
      </w:r>
    </w:p>
  </w:footnote>
  <w:footnote w:type="continuationSeparator" w:id="0">
    <w:p w:rsidR="00631960" w:rsidRDefault="00631960"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A3059"/>
    <w:multiLevelType w:val="hybridMultilevel"/>
    <w:tmpl w:val="69543D2A"/>
    <w:lvl w:ilvl="0" w:tplc="9140AFDE">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3CA06AD"/>
    <w:multiLevelType w:val="hybridMultilevel"/>
    <w:tmpl w:val="8E3E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0"/>
  </w:num>
  <w:num w:numId="4">
    <w:abstractNumId w:val="6"/>
  </w:num>
  <w:num w:numId="5">
    <w:abstractNumId w:val="10"/>
  </w:num>
  <w:num w:numId="6">
    <w:abstractNumId w:val="1"/>
  </w:num>
  <w:num w:numId="7">
    <w:abstractNumId w:val="3"/>
  </w:num>
  <w:num w:numId="8">
    <w:abstractNumId w:val="7"/>
  </w:num>
  <w:num w:numId="9">
    <w:abstractNumId w:val="2"/>
  </w:num>
  <w:num w:numId="10">
    <w:abstractNumId w:val="4"/>
  </w:num>
  <w:num w:numId="11">
    <w:abstractNumId w:val="15"/>
  </w:num>
  <w:num w:numId="12">
    <w:abstractNumId w:val="14"/>
  </w:num>
  <w:num w:numId="13">
    <w:abstractNumId w:val="8"/>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1D3500"/>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3C9C"/>
    <w:rsid w:val="00524E47"/>
    <w:rsid w:val="005276B3"/>
    <w:rsid w:val="005814AA"/>
    <w:rsid w:val="005A5DD2"/>
    <w:rsid w:val="005F5227"/>
    <w:rsid w:val="00624590"/>
    <w:rsid w:val="00631960"/>
    <w:rsid w:val="00642692"/>
    <w:rsid w:val="00697619"/>
    <w:rsid w:val="00730C8D"/>
    <w:rsid w:val="00747462"/>
    <w:rsid w:val="007B1ECF"/>
    <w:rsid w:val="007C3902"/>
    <w:rsid w:val="007D5391"/>
    <w:rsid w:val="007E2056"/>
    <w:rsid w:val="00802478"/>
    <w:rsid w:val="00823BB0"/>
    <w:rsid w:val="00897BC1"/>
    <w:rsid w:val="008C21A5"/>
    <w:rsid w:val="008C78C3"/>
    <w:rsid w:val="008D6243"/>
    <w:rsid w:val="0090658D"/>
    <w:rsid w:val="009230C7"/>
    <w:rsid w:val="00954DFC"/>
    <w:rsid w:val="00982932"/>
    <w:rsid w:val="0099180E"/>
    <w:rsid w:val="009A018B"/>
    <w:rsid w:val="009D7C41"/>
    <w:rsid w:val="00A42DA9"/>
    <w:rsid w:val="00A72DF2"/>
    <w:rsid w:val="00A73062"/>
    <w:rsid w:val="00A8202E"/>
    <w:rsid w:val="00A82042"/>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12A73"/>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F0DB1F6B-EB7F-4230-812A-B778384D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F12A73"/>
    <w:pPr>
      <w:spacing w:after="0" w:line="240" w:lineRule="auto"/>
    </w:pPr>
    <w:rPr>
      <w:rFonts w:ascii="Calibri" w:eastAsia="??" w:hAnsi="Calibri" w:cs="Cordia New"/>
      <w:sz w:val="20"/>
      <w:szCs w:val="20"/>
      <w:lang w:val="en-US"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F12A73"/>
    <w:pPr>
      <w:spacing w:after="0" w:line="240" w:lineRule="auto"/>
    </w:pPr>
    <w:rPr>
      <w:rFonts w:ascii="Calibri" w:eastAsia="??" w:hAnsi="Calibri" w:cs="Cordia New"/>
      <w:sz w:val="20"/>
      <w:szCs w:val="20"/>
      <w:lang w:val="en-US"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PrescriptiveContentSelection xmlns="83ed2304-0f0e-45ba-b0cc-7d360cbc1769">Yes</UNDPPOPPPrescriptiveContentSelection>
    <UNDPPOPPFunctionalArea xmlns="83ed2304-0f0e-45ba-b0cc-7d360cbc1769">Contract and Procurement</UNDPPOPPFunctionalArea>
    <UNDPSummary xmlns="83ed2304-0f0e-45ba-b0cc-7d360cbc1769" xsi:nil="true"/>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1b24975c04270067d5048b76b5f62bb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3.xml><?xml version="1.0" encoding="utf-8"?>
<ds:datastoreItem xmlns:ds="http://schemas.openxmlformats.org/officeDocument/2006/customXml" ds:itemID="{C0FA7513-BC7B-40DB-AFE3-7995B800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5F746-D3AC-40A2-BF1E-05B7185D603E}">
  <ds:schemaRefs>
    <ds:schemaRef ds:uri="http://schemas.microsoft.com/sharepoint/events"/>
  </ds:schemaRefs>
</ds:datastoreItem>
</file>

<file path=customXml/itemProps5.xml><?xml version="1.0" encoding="utf-8"?>
<ds:datastoreItem xmlns:ds="http://schemas.openxmlformats.org/officeDocument/2006/customXml" ds:itemID="{59C2550C-B9AD-44FA-9E5F-F3C7FFDD8B9C}">
  <ds:schemaRefs>
    <ds:schemaRef ds:uri="Microsoft.SharePoint.Taxonomy.ContentTypeSync"/>
  </ds:schemaRefs>
</ds:datastoreItem>
</file>

<file path=customXml/itemProps6.xml><?xml version="1.0" encoding="utf-8"?>
<ds:datastoreItem xmlns:ds="http://schemas.openxmlformats.org/officeDocument/2006/customXml" ds:itemID="{98635243-33B9-48D3-A694-CF39DD18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Somlak Supkongyu</cp:lastModifiedBy>
  <cp:revision>3</cp:revision>
  <dcterms:created xsi:type="dcterms:W3CDTF">2017-07-18T08:54:00Z</dcterms:created>
  <dcterms:modified xsi:type="dcterms:W3CDTF">2017-07-18T08:55:00Z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