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1CB3" w14:textId="77777777" w:rsidR="00D46EB2" w:rsidRPr="00D46EB2" w:rsidRDefault="00D46EB2" w:rsidP="00D46E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11B60"/>
          <w:sz w:val="26"/>
          <w:szCs w:val="26"/>
          <w:lang w:val="en-US"/>
        </w:rPr>
      </w:pPr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 xml:space="preserve">Corte di </w:t>
      </w:r>
      <w:proofErr w:type="spellStart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>Cassazione</w:t>
      </w:r>
      <w:proofErr w:type="spellEnd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 xml:space="preserve">, </w:t>
      </w:r>
      <w:proofErr w:type="spellStart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>sez</w:t>
      </w:r>
      <w:proofErr w:type="spellEnd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 xml:space="preserve">. I </w:t>
      </w:r>
      <w:proofErr w:type="spellStart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>Penale</w:t>
      </w:r>
      <w:proofErr w:type="spellEnd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 xml:space="preserve">, </w:t>
      </w:r>
      <w:proofErr w:type="spellStart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>sentenza</w:t>
      </w:r>
      <w:proofErr w:type="spellEnd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 xml:space="preserve"> 24 </w:t>
      </w:r>
      <w:proofErr w:type="spellStart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>aprile</w:t>
      </w:r>
      <w:proofErr w:type="spellEnd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 xml:space="preserve"> – 18 </w:t>
      </w:r>
      <w:proofErr w:type="spellStart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>giugno</w:t>
      </w:r>
      <w:proofErr w:type="spellEnd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 xml:space="preserve"> 2013, n. 26457</w:t>
      </w:r>
    </w:p>
    <w:p w14:paraId="07E6CA7C" w14:textId="77777777" w:rsidR="00D46EB2" w:rsidRPr="00D46EB2" w:rsidRDefault="00D46EB2" w:rsidP="00D46E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11B60"/>
          <w:sz w:val="26"/>
          <w:szCs w:val="26"/>
          <w:lang w:val="en-US"/>
        </w:rPr>
      </w:pPr>
      <w:proofErr w:type="spellStart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>Presidente</w:t>
      </w:r>
      <w:proofErr w:type="spellEnd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 xml:space="preserve"> Giordano – </w:t>
      </w:r>
      <w:proofErr w:type="spellStart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>Relatore</w:t>
      </w:r>
      <w:proofErr w:type="spellEnd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 xml:space="preserve"> </w:t>
      </w:r>
      <w:proofErr w:type="spellStart"/>
      <w:r w:rsidRPr="00D46EB2">
        <w:rPr>
          <w:rFonts w:ascii="Arial" w:hAnsi="Arial" w:cs="Arial"/>
          <w:b/>
          <w:color w:val="011B60"/>
          <w:sz w:val="26"/>
          <w:szCs w:val="26"/>
          <w:lang w:val="en-US"/>
        </w:rPr>
        <w:t>Santalucia</w:t>
      </w:r>
      <w:proofErr w:type="spellEnd"/>
    </w:p>
    <w:p w14:paraId="3BF2A727" w14:textId="77777777" w:rsidR="00D46EB2" w:rsidRDefault="00D46EB2" w:rsidP="00D46EB2">
      <w:pPr>
        <w:widowControl w:val="0"/>
        <w:autoSpaceDE w:val="0"/>
        <w:autoSpaceDN w:val="0"/>
        <w:adjustRightInd w:val="0"/>
        <w:rPr>
          <w:rFonts w:ascii="Arial" w:hAnsi="Arial" w:cs="Arial"/>
          <w:color w:val="011B60"/>
          <w:sz w:val="26"/>
          <w:szCs w:val="26"/>
          <w:lang w:val="en-US"/>
        </w:rPr>
      </w:pPr>
    </w:p>
    <w:p w14:paraId="67034E2B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Ritenuto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fatto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</w:p>
    <w:p w14:paraId="04DAC102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</w:p>
    <w:p w14:paraId="572B2717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  <w:r>
        <w:rPr>
          <w:rFonts w:ascii="Arial" w:hAnsi="Arial" w:cs="Arial"/>
          <w:color w:val="011B60"/>
          <w:sz w:val="26"/>
          <w:szCs w:val="26"/>
          <w:lang w:val="en-US"/>
        </w:rPr>
        <w:t xml:space="preserve">La Corte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appello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Milano ha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confermato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del 15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aprile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2008 con cui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giudice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dell'udienza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preliminare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Tribunale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quella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città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condannò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in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esito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rito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abbreviato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R.R.F.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pena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un anno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reclusione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ed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Euro 6000,00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multa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per aver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favorito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permanenza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sul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territorio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al fine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trarre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profitto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dalla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loro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condizione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illegalità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di due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cittadini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extracomunitari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privi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permesso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soggiorno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specificamente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ospitandoli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nell'appartamento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via (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omissis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) ,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proprietà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Ru.Ro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t>e</w:t>
      </w:r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a lei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regolarmente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affittato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dietro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pagamento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somma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denaro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quale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pigione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accertato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omissis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) . La Corte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territoriale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ha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posto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evidenza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dagli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accertamenti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polizia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nonché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dalle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dichiarazioni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t>della</w:t>
      </w:r>
      <w:proofErr w:type="spellEnd"/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stessa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ricorrente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è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emerso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questa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accettò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prestare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suo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nome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connazionale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Ro.Sa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. , </w:t>
      </w:r>
      <w:proofErr w:type="spellStart"/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t>clandestina</w:t>
      </w:r>
      <w:proofErr w:type="spellEnd"/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consentendo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tal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modo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l'elusione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norme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sulla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registrazione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contratto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e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quelle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poste a presidio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pubblica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sicurezza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ciò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fece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allo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scopo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lucrare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o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comunque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facendo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lucrare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un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canone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locazione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comunque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rivestito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carattere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profitto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ingiusto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. </w:t>
      </w:r>
    </w:p>
    <w:p w14:paraId="2D87947E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Avverso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ha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proposto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ricorso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R.R</w:t>
      </w:r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t>. ,</w:t>
      </w:r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deducendo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: </w:t>
      </w:r>
    </w:p>
    <w:p w14:paraId="45587845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  <w:r>
        <w:rPr>
          <w:rFonts w:ascii="Arial" w:hAnsi="Arial" w:cs="Arial"/>
          <w:color w:val="011B60"/>
          <w:sz w:val="26"/>
          <w:szCs w:val="26"/>
          <w:lang w:val="en-US"/>
        </w:rPr>
        <w:t xml:space="preserve">-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Violazione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legge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difetto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motivazione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. La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impugnata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sì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come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quella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primo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grado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ha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omesso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accertare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l'elemento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dell'ingiusto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profitto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essenziale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fini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dell'integrazione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t>della</w:t>
      </w:r>
      <w:proofErr w:type="spellEnd"/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fattispecie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criminosa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oggetto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contestazione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Manca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infatti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qualsivoglia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dimostrazione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relazione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fatto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ricorrente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percepisse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t>un</w:t>
      </w:r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canone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locatizio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e,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soprattutto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lo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stesso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fosse "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oneroso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ed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esorbitante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". </w:t>
      </w:r>
    </w:p>
    <w:p w14:paraId="6E0AC861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</w:p>
    <w:p w14:paraId="2EB61EDC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Considerato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diritto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</w:p>
    <w:p w14:paraId="1BCAADDF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</w:p>
    <w:p w14:paraId="497D1695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Il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ricorso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è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fondato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per le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ragioni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seguito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esposte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</w:p>
    <w:p w14:paraId="5ED83269" w14:textId="77777777" w:rsidR="009B1811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L'integrazione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necessita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dell'elemento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soggettivo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dolo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specifico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come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reiterata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mente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evidenziato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questa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Corte, 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cioè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dalla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sussistenza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in capo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all'agente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del fine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trarre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un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profitto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Ingiusto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. In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questo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senso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questa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Corte ha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già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affermato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fini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configurazione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favoreggiamento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permanenza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nel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territorio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immigrati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clandestini</w:t>
      </w:r>
      <w:proofErr w:type="spellEnd"/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t>...,</w:t>
      </w:r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nell'ipotesi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rapporto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contrattuale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instaurato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con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essi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occorre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accertare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sussistenza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in capo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all'agente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del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dolo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specifico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consistente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nella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finalità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trarre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ingiusto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profitto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dalla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condizione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illegalità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straniero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clandestino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”. </w:t>
      </w:r>
    </w:p>
    <w:p w14:paraId="2712CFA5" w14:textId="77777777" w:rsidR="009B1811" w:rsidRDefault="009B1811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</w:p>
    <w:p w14:paraId="17B4BD31" w14:textId="77777777" w:rsidR="0074203E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  <w:r>
        <w:rPr>
          <w:rFonts w:ascii="Arial" w:hAnsi="Arial" w:cs="Arial"/>
          <w:color w:val="011B60"/>
          <w:sz w:val="26"/>
          <w:szCs w:val="26"/>
          <w:lang w:val="en-US"/>
        </w:rPr>
        <w:t xml:space="preserve">Il principio è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pronunciato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in un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caso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concessione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locazione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immigrato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clandestino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locali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ad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uso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abitazione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ove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però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non era </w:t>
      </w:r>
      <w:proofErr w:type="spellStart"/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lastRenderedPageBreak/>
        <w:t>stato</w:t>
      </w:r>
      <w:proofErr w:type="spellEnd"/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accertato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se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dalla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stipula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contratto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locatore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avesse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inteso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trarre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indebito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vantaggio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dalla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condizione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illegalità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straniero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con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l'imposizione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condizioni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onerose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ed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esorbitanti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dall'equilibrio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rapporto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sinallagmatico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Sez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1, n. 46066 del 16/10/2003 (dep. 28/11/2003),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Capriotti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>, Rv. 226476 -.</w:t>
      </w:r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Ancora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e in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conformità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è pure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fini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configurazione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favoreggiamento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permanenza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nel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territorio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immigrati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clandestini</w:t>
      </w:r>
      <w:proofErr w:type="spellEnd"/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t>...,</w:t>
      </w:r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non è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sufficiente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l'agente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abbia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favorito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permanenza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nel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territorio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immigrati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clandestini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mettendo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loro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disposizione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unità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abitative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locazione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ma è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necessario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ricorra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dolo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specifico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costituito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dal fine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trarre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un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ingiusto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profitto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dallo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illegalità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cittadini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stranieri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realizza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quando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l'agente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approfittando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tale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imponga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condizioni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particolarmente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onerose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ed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esorbitanti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dal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rapporto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sinallagmatico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Sez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1, n. 46070 del 23/10/2003 (dep. 28/11/2003), P.G. in proc.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Scarselli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>, Rv. 226477 -.</w:t>
      </w:r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</w:p>
    <w:p w14:paraId="0BCAC8E3" w14:textId="77777777" w:rsidR="0074203E" w:rsidRDefault="0074203E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</w:p>
    <w:p w14:paraId="7D8955E6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  <w:r>
        <w:rPr>
          <w:rFonts w:ascii="Arial" w:hAnsi="Arial" w:cs="Arial"/>
          <w:color w:val="011B60"/>
          <w:sz w:val="26"/>
          <w:szCs w:val="26"/>
          <w:lang w:val="en-US"/>
        </w:rPr>
        <w:t xml:space="preserve">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più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recente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è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ribadito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l'elemento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soggettivo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richiesto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per la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configurazione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... è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dolo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specifico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costituito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dal fine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trarre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un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ingiusto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profitto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dallo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illegalità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cittadini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stranieri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situazione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questa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realizza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quando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l'agente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approfittando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tale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stato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imponga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condizioni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particolarmente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onerose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ed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esorbitanti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dal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rapporto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sinallagmatico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Sez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1, n. 5093 del 17/1/2012 (dep. 9/2/2012),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Abdalah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altri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>, Rv. 251855 -.</w:t>
      </w:r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</w:p>
    <w:p w14:paraId="18B1438E" w14:textId="77777777" w:rsidR="0074203E" w:rsidRDefault="0074203E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  <w:bookmarkStart w:id="0" w:name="_GoBack"/>
      <w:bookmarkEnd w:id="0"/>
    </w:p>
    <w:p w14:paraId="637960BF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  <w:r>
        <w:rPr>
          <w:rFonts w:ascii="Arial" w:hAnsi="Arial" w:cs="Arial"/>
          <w:color w:val="011B60"/>
          <w:sz w:val="26"/>
          <w:szCs w:val="26"/>
          <w:lang w:val="en-US"/>
        </w:rPr>
        <w:t xml:space="preserve">La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impugnata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- come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anche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primo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grado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- ha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omesso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misurarsi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con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questo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principio,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limitandosi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all'affermazione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che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ricorrente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agì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per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lucrare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o per far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lucrare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proprietario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dell'immobile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canone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locazione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ritenuto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per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ciò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solo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oggetto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ingiusto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profitto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prescindere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ogni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considerazione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circa lo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sfruttamento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meno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condizioni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di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immigrati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clandestini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conduttori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. </w:t>
      </w:r>
    </w:p>
    <w:p w14:paraId="42816823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Nella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ricostruzione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fatto-reato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sì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come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operata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difetta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t>un</w:t>
      </w:r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elemento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necessario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fattispecie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appunto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dolo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specifico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e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pertanto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impone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l'annullamento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della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perché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il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fatto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non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costituisce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. </w:t>
      </w:r>
    </w:p>
    <w:p w14:paraId="7984DE01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</w:p>
    <w:p w14:paraId="7945BDA7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  <w:r>
        <w:rPr>
          <w:rFonts w:ascii="Arial" w:hAnsi="Arial" w:cs="Arial"/>
          <w:color w:val="011B60"/>
          <w:sz w:val="26"/>
          <w:szCs w:val="26"/>
          <w:lang w:val="en-US"/>
        </w:rPr>
        <w:t xml:space="preserve">P.Q.M. </w:t>
      </w:r>
    </w:p>
    <w:p w14:paraId="0389A216" w14:textId="77777777" w:rsidR="00D46EB2" w:rsidRDefault="00D46EB2" w:rsidP="00D46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11B60"/>
          <w:sz w:val="26"/>
          <w:szCs w:val="26"/>
          <w:lang w:val="en-US"/>
        </w:rPr>
      </w:pPr>
    </w:p>
    <w:p w14:paraId="521BE78E" w14:textId="77777777" w:rsidR="00DD6A51" w:rsidRDefault="00D46EB2" w:rsidP="00D46EB2">
      <w:pPr>
        <w:jc w:val="both"/>
      </w:pP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Annulla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rinvio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sentenza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impugnata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perché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11B60"/>
          <w:sz w:val="26"/>
          <w:szCs w:val="26"/>
          <w:lang w:val="en-US"/>
        </w:rPr>
        <w:t>il</w:t>
      </w:r>
      <w:proofErr w:type="spellEnd"/>
      <w:proofErr w:type="gram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fatto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non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costituisce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011B60"/>
          <w:sz w:val="26"/>
          <w:szCs w:val="26"/>
          <w:lang w:val="en-US"/>
        </w:rPr>
        <w:t>reato</w:t>
      </w:r>
      <w:proofErr w:type="spellEnd"/>
      <w:r>
        <w:rPr>
          <w:rFonts w:ascii="Arial" w:hAnsi="Arial" w:cs="Arial"/>
          <w:color w:val="011B60"/>
          <w:sz w:val="26"/>
          <w:szCs w:val="26"/>
          <w:lang w:val="en-US"/>
        </w:rPr>
        <w:t>.</w:t>
      </w:r>
    </w:p>
    <w:sectPr w:rsidR="00DD6A51" w:rsidSect="00DD6A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B2"/>
    <w:rsid w:val="002C1146"/>
    <w:rsid w:val="0074203E"/>
    <w:rsid w:val="009B1811"/>
    <w:rsid w:val="00D46EB2"/>
    <w:rsid w:val="00DD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7DA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4208</Characters>
  <Application>Microsoft Macintosh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Ramos Pinto Soares</dc:creator>
  <cp:keywords/>
  <dc:description/>
  <cp:lastModifiedBy>Patricia Ramos Pinto Soares</cp:lastModifiedBy>
  <cp:revision>2</cp:revision>
  <dcterms:created xsi:type="dcterms:W3CDTF">2016-09-28T14:15:00Z</dcterms:created>
  <dcterms:modified xsi:type="dcterms:W3CDTF">2016-09-28T14:57:00Z</dcterms:modified>
</cp:coreProperties>
</file>