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954" w:rsidRDefault="003F7954">
      <w:pPr>
        <w:rPr>
          <w:lang w:val="en-GB"/>
        </w:rPr>
      </w:pPr>
    </w:p>
    <w:p w:rsidR="00DA2C12" w:rsidRDefault="00DA2C12">
      <w:pPr>
        <w:rPr>
          <w:lang w:val="en-GB"/>
        </w:rPr>
      </w:pPr>
    </w:p>
    <w:p w:rsidR="00D458EA" w:rsidRPr="00D458EA" w:rsidRDefault="00D458EA" w:rsidP="00D458EA">
      <w:pPr>
        <w:ind w:left="993" w:right="1019"/>
        <w:jc w:val="center"/>
        <w:rPr>
          <w:rFonts w:eastAsia="Times New Roman"/>
          <w:b/>
          <w:bCs/>
          <w:snapToGrid w:val="0"/>
          <w:sz w:val="26"/>
          <w:szCs w:val="26"/>
          <w:lang w:eastAsia="en-US"/>
        </w:rPr>
      </w:pPr>
      <w:r w:rsidRPr="00D458EA">
        <w:rPr>
          <w:rFonts w:eastAsia="Times New Roman"/>
          <w:b/>
          <w:bCs/>
          <w:snapToGrid w:val="0"/>
          <w:sz w:val="26"/>
          <w:szCs w:val="26"/>
          <w:lang w:eastAsia="en-US"/>
        </w:rPr>
        <w:t>IMPLEMENTATION OF THE RECOMMENDATIONS ADOPTED BY</w:t>
      </w:r>
    </w:p>
    <w:p w:rsidR="00D458EA" w:rsidRPr="00D458EA" w:rsidRDefault="00D458EA" w:rsidP="00D458EA">
      <w:pPr>
        <w:ind w:left="993" w:right="1019"/>
        <w:jc w:val="center"/>
        <w:rPr>
          <w:rFonts w:eastAsia="Times New Roman"/>
          <w:b/>
          <w:bCs/>
          <w:snapToGrid w:val="0"/>
          <w:sz w:val="26"/>
          <w:szCs w:val="26"/>
          <w:lang w:eastAsia="en-US"/>
        </w:rPr>
      </w:pPr>
      <w:r w:rsidRPr="00D458EA">
        <w:rPr>
          <w:rFonts w:eastAsia="Times New Roman"/>
          <w:b/>
          <w:bCs/>
          <w:snapToGrid w:val="0"/>
          <w:sz w:val="26"/>
          <w:szCs w:val="26"/>
          <w:lang w:eastAsia="en-US"/>
        </w:rPr>
        <w:t>THE TWENTY-</w:t>
      </w:r>
      <w:r w:rsidR="00AD0B9E">
        <w:rPr>
          <w:rFonts w:eastAsia="Times New Roman"/>
          <w:b/>
          <w:bCs/>
          <w:snapToGrid w:val="0"/>
          <w:sz w:val="26"/>
          <w:szCs w:val="26"/>
          <w:lang w:eastAsia="en-US"/>
        </w:rPr>
        <w:t>NINTH</w:t>
      </w:r>
      <w:r w:rsidRPr="00D458EA">
        <w:rPr>
          <w:rFonts w:eastAsia="Times New Roman"/>
          <w:b/>
          <w:bCs/>
          <w:snapToGrid w:val="0"/>
          <w:sz w:val="26"/>
          <w:szCs w:val="26"/>
          <w:lang w:eastAsia="en-US"/>
        </w:rPr>
        <w:t xml:space="preserve"> SESSION OF HONLEA, LATIN AMERICA AND THE CARIBBEAN, </w:t>
      </w:r>
      <w:r w:rsidR="00AD0B9E">
        <w:rPr>
          <w:rFonts w:eastAsia="Times New Roman"/>
          <w:b/>
          <w:bCs/>
          <w:snapToGrid w:val="0"/>
          <w:sz w:val="26"/>
          <w:szCs w:val="26"/>
          <w:lang w:eastAsia="en-US"/>
        </w:rPr>
        <w:t>LIMA</w:t>
      </w:r>
      <w:r w:rsidRPr="00D458EA">
        <w:rPr>
          <w:rFonts w:eastAsia="Times New Roman"/>
          <w:b/>
          <w:bCs/>
          <w:snapToGrid w:val="0"/>
          <w:sz w:val="26"/>
          <w:szCs w:val="26"/>
          <w:lang w:eastAsia="en-US"/>
        </w:rPr>
        <w:t xml:space="preserve">, </w:t>
      </w:r>
      <w:r w:rsidR="00AD0B9E">
        <w:rPr>
          <w:rFonts w:eastAsia="Times New Roman"/>
          <w:b/>
          <w:bCs/>
          <w:snapToGrid w:val="0"/>
          <w:sz w:val="26"/>
          <w:szCs w:val="26"/>
          <w:lang w:eastAsia="en-US"/>
        </w:rPr>
        <w:t>PERU</w:t>
      </w:r>
    </w:p>
    <w:p w:rsidR="00D458EA" w:rsidRPr="00D458EA" w:rsidRDefault="00AD0B9E" w:rsidP="00D458EA">
      <w:pPr>
        <w:jc w:val="center"/>
        <w:rPr>
          <w:rFonts w:eastAsia="Times New Roman"/>
          <w:b/>
          <w:bCs/>
          <w:snapToGrid w:val="0"/>
          <w:lang w:eastAsia="en-US"/>
        </w:rPr>
      </w:pPr>
      <w:r>
        <w:rPr>
          <w:rFonts w:eastAsia="Times New Roman"/>
          <w:b/>
          <w:bCs/>
          <w:snapToGrid w:val="0"/>
          <w:lang w:eastAsia="en-US"/>
        </w:rPr>
        <w:t>7</w:t>
      </w:r>
      <w:r w:rsidR="00D458EA" w:rsidRPr="00D458EA">
        <w:rPr>
          <w:rFonts w:eastAsia="Times New Roman"/>
          <w:b/>
          <w:bCs/>
          <w:snapToGrid w:val="0"/>
          <w:lang w:eastAsia="en-US"/>
        </w:rPr>
        <w:t xml:space="preserve"> - </w:t>
      </w:r>
      <w:r>
        <w:rPr>
          <w:rFonts w:eastAsia="Times New Roman"/>
          <w:b/>
          <w:bCs/>
          <w:snapToGrid w:val="0"/>
          <w:lang w:eastAsia="en-US"/>
        </w:rPr>
        <w:t>11</w:t>
      </w:r>
      <w:r w:rsidR="00D458EA" w:rsidRPr="00D458EA">
        <w:rPr>
          <w:rFonts w:eastAsia="Times New Roman"/>
          <w:b/>
          <w:bCs/>
          <w:snapToGrid w:val="0"/>
          <w:lang w:eastAsia="en-US"/>
        </w:rPr>
        <w:t xml:space="preserve"> OCTOBER 201</w:t>
      </w:r>
      <w:r>
        <w:rPr>
          <w:rFonts w:eastAsia="Times New Roman"/>
          <w:b/>
          <w:bCs/>
          <w:snapToGrid w:val="0"/>
          <w:lang w:eastAsia="en-US"/>
        </w:rPr>
        <w:t>9</w:t>
      </w:r>
    </w:p>
    <w:p w:rsidR="00E04B90" w:rsidRDefault="00E04B90" w:rsidP="00DA2C12">
      <w:pPr>
        <w:jc w:val="center"/>
        <w:rPr>
          <w:b/>
          <w:lang w:val="en-GB"/>
        </w:rPr>
      </w:pPr>
    </w:p>
    <w:p w:rsidR="00DA2C12" w:rsidRPr="00D458EA" w:rsidRDefault="00E04B90" w:rsidP="00DA2C12">
      <w:pPr>
        <w:jc w:val="center"/>
        <w:rPr>
          <w:b/>
          <w:sz w:val="30"/>
          <w:szCs w:val="30"/>
          <w:lang w:val="en-GB"/>
        </w:rPr>
      </w:pPr>
      <w:r w:rsidRPr="00D458EA">
        <w:rPr>
          <w:b/>
          <w:sz w:val="30"/>
          <w:szCs w:val="30"/>
          <w:lang w:val="en-GB"/>
        </w:rPr>
        <w:t>QUESTIONNAIRE</w:t>
      </w:r>
    </w:p>
    <w:tbl>
      <w:tblPr>
        <w:tblStyle w:val="TableGrid"/>
        <w:tblpPr w:leftFromText="180" w:rightFromText="180" w:vertAnchor="page" w:horzAnchor="margin" w:tblpXSpec="center" w:tblpY="3319"/>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C6590F" w:rsidTr="00C6590F">
        <w:trPr>
          <w:cantSplit/>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rPr>
                <w:b/>
                <w:sz w:val="28"/>
                <w:szCs w:val="28"/>
                <w:lang w:val="en-GB"/>
              </w:rPr>
            </w:pPr>
          </w:p>
          <w:p w:rsidR="00C6590F" w:rsidRPr="00F36455" w:rsidRDefault="00C6590F" w:rsidP="00C6590F">
            <w:pPr>
              <w:jc w:val="center"/>
              <w:rPr>
                <w:b/>
                <w:lang w:val="en-GB"/>
              </w:rPr>
            </w:pPr>
            <w:r w:rsidRPr="00F36455">
              <w:rPr>
                <w:b/>
                <w:lang w:val="en-GB"/>
              </w:rPr>
              <w:t>Submission Information</w:t>
            </w:r>
          </w:p>
          <w:p w:rsidR="00C6590F" w:rsidRPr="00DA2C12" w:rsidRDefault="00C6590F" w:rsidP="00C6590F">
            <w:pPr>
              <w:rPr>
                <w:b/>
                <w:sz w:val="28"/>
                <w:szCs w:val="28"/>
                <w:lang w:val="en-GB"/>
              </w:rPr>
            </w:pPr>
          </w:p>
        </w:tc>
      </w:tr>
      <w:tr w:rsidR="00C6590F" w:rsidTr="00C6590F">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Name of country:</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2"/>
                  <w:enabled/>
                  <w:calcOnExit w:val="0"/>
                  <w:textInput/>
                </w:ffData>
              </w:fldChar>
            </w:r>
            <w:bookmarkStart w:id="0"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r>
      <w:tr w:rsidR="00C6590F" w:rsidTr="00C6590F">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Date of submission:</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C6590F" w:rsidTr="00C6590F">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C6590F" w:rsidRDefault="00C6590F" w:rsidP="00C6590F">
            <w:pPr>
              <w:rPr>
                <w:lang w:val="en-GB"/>
              </w:rPr>
            </w:pPr>
          </w:p>
          <w:p w:rsidR="00C6590F" w:rsidRDefault="00C6590F" w:rsidP="00C6590F">
            <w:pPr>
              <w:jc w:val="center"/>
              <w:rPr>
                <w:b/>
                <w:lang w:val="en-GB"/>
              </w:rPr>
            </w:pPr>
            <w:r w:rsidRPr="00E04B90">
              <w:rPr>
                <w:b/>
                <w:lang w:val="en-GB"/>
              </w:rPr>
              <w:t>Information for follow-up purposes</w:t>
            </w:r>
          </w:p>
          <w:p w:rsidR="00C6590F" w:rsidRPr="00E04B90" w:rsidRDefault="00C6590F" w:rsidP="00C6590F">
            <w:pPr>
              <w:rPr>
                <w:b/>
                <w:lang w:val="en-GB"/>
              </w:rPr>
            </w:pPr>
          </w:p>
        </w:tc>
      </w:tr>
      <w:tr w:rsidR="00C6590F" w:rsidTr="00C6590F">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t>Contact person</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fldChar w:fldCharType="begin">
                <w:ffData>
                  <w:name w:val="Text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t>Title and Organization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480" w:after="480"/>
              <w:rPr>
                <w:lang w:val="en-GB"/>
              </w:rPr>
            </w:pPr>
            <w:r>
              <w:rPr>
                <w:lang w:val="en-GB"/>
              </w:rPr>
              <w:t>Address</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480" w:after="480"/>
              <w:rPr>
                <w:lang w:val="en-GB"/>
              </w:rPr>
            </w:pPr>
            <w:r>
              <w:rPr>
                <w:lang w:val="en-GB"/>
              </w:rPr>
              <w:fldChar w:fldCharType="begin">
                <w:ffData>
                  <w:name w:val="Text5"/>
                  <w:enabled/>
                  <w:calcOnExit w:val="0"/>
                  <w:textInput/>
                </w:ffData>
              </w:fldChar>
            </w:r>
            <w:bookmarkStart w:id="3"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Telephone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6"/>
                  <w:enabled/>
                  <w:calcOnExit w:val="0"/>
                  <w:textInput/>
                </w:ffData>
              </w:fldChar>
            </w:r>
            <w:bookmarkStart w:id="4"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Fax</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7"/>
                  <w:enabled/>
                  <w:calcOnExit w:val="0"/>
                  <w:textInput/>
                </w:ffData>
              </w:fldChar>
            </w:r>
            <w:bookmarkStart w:id="5"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C6590F" w:rsidTr="00C6590F">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E-Mail</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8"/>
                  <w:enabled/>
                  <w:calcOnExit w:val="0"/>
                  <w:textInput/>
                </w:ffData>
              </w:fldChar>
            </w:r>
            <w:bookmarkStart w:id="6"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r w:rsidR="00C6590F" w:rsidTr="00C6590F">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C6590F" w:rsidRDefault="00C6590F" w:rsidP="00C6590F">
            <w:pPr>
              <w:rPr>
                <w:b/>
                <w:lang w:val="en-GB"/>
              </w:rPr>
            </w:pPr>
          </w:p>
          <w:p w:rsidR="00C6590F" w:rsidRDefault="00C6590F" w:rsidP="00C6590F">
            <w:pPr>
              <w:jc w:val="center"/>
              <w:rPr>
                <w:b/>
                <w:lang w:val="en-GB"/>
              </w:rPr>
            </w:pPr>
            <w:r w:rsidRPr="00E04B90">
              <w:rPr>
                <w:b/>
                <w:lang w:val="en-GB"/>
              </w:rPr>
              <w:t>Publishing on the UNODC website</w:t>
            </w:r>
          </w:p>
          <w:p w:rsidR="00C6590F" w:rsidRPr="00E04B90" w:rsidRDefault="00C6590F" w:rsidP="00C6590F">
            <w:pPr>
              <w:rPr>
                <w:b/>
                <w:lang w:val="en-GB"/>
              </w:rPr>
            </w:pPr>
          </w:p>
        </w:tc>
      </w:tr>
      <w:tr w:rsidR="00C6590F" w:rsidTr="00C6590F">
        <w:trPr>
          <w:cantSplit/>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C6590F" w:rsidRDefault="00C6590F" w:rsidP="00C6590F">
            <w:pPr>
              <w:spacing w:after="120"/>
              <w:rPr>
                <w:lang w:val="en-GB"/>
              </w:rPr>
            </w:pPr>
            <w:r>
              <w:rPr>
                <w:lang w:val="en-GB"/>
              </w:rPr>
              <w:t xml:space="preserve">Do you agree to post the questionnaire “as </w:t>
            </w:r>
            <w:proofErr w:type="gramStart"/>
            <w:r>
              <w:rPr>
                <w:lang w:val="en-GB"/>
              </w:rPr>
              <w:t>received”</w:t>
            </w:r>
            <w:proofErr w:type="gramEnd"/>
            <w:r>
              <w:rPr>
                <w:lang w:val="en-GB"/>
              </w:rPr>
              <w:t xml:space="preserve"> </w:t>
            </w:r>
          </w:p>
          <w:p w:rsidR="00C6590F" w:rsidRDefault="00C6590F" w:rsidP="00C6590F">
            <w:pPr>
              <w:spacing w:after="120"/>
              <w:rPr>
                <w:lang w:val="en-GB"/>
              </w:rPr>
            </w:pPr>
            <w:r>
              <w:rPr>
                <w:lang w:val="en-GB"/>
              </w:rPr>
              <w:t>on the UNODC website</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C6590F" w:rsidRDefault="00C6590F" w:rsidP="00C6590F">
            <w:pPr>
              <w:spacing w:after="120"/>
              <w:rPr>
                <w:lang w:val="en-GB"/>
              </w:rPr>
            </w:pPr>
            <w:r>
              <w:rPr>
                <w:lang w:val="en-GB"/>
              </w:rPr>
              <w:fldChar w:fldCharType="begin">
                <w:ffData>
                  <w:name w:val="Check1"/>
                  <w:enabled/>
                  <w:calcOnExit w:val="0"/>
                  <w:checkBox>
                    <w:sizeAuto/>
                    <w:default w:val="0"/>
                    <w:checked w:val="0"/>
                  </w:checkBox>
                </w:ffData>
              </w:fldChar>
            </w:r>
            <w:bookmarkStart w:id="7" w:name="Check1"/>
            <w:r>
              <w:rPr>
                <w:lang w:val="en-GB"/>
              </w:rPr>
              <w:instrText xml:space="preserve"> FORMCHECKBOX </w:instrText>
            </w:r>
            <w:r w:rsidR="00834C98">
              <w:rPr>
                <w:lang w:val="en-GB"/>
              </w:rPr>
            </w:r>
            <w:r w:rsidR="00834C98">
              <w:rPr>
                <w:lang w:val="en-GB"/>
              </w:rPr>
              <w:fldChar w:fldCharType="separate"/>
            </w:r>
            <w:r>
              <w:rPr>
                <w:lang w:val="en-GB"/>
              </w:rPr>
              <w:fldChar w:fldCharType="end"/>
            </w:r>
            <w:bookmarkEnd w:id="7"/>
            <w:r>
              <w:rPr>
                <w:lang w:val="en-GB"/>
              </w:rPr>
              <w:t xml:space="preserve"> YES</w:t>
            </w:r>
          </w:p>
          <w:p w:rsidR="00C6590F" w:rsidRDefault="00C6590F" w:rsidP="00C6590F">
            <w:pPr>
              <w:spacing w:after="120"/>
              <w:rPr>
                <w:lang w:val="en-GB"/>
              </w:rPr>
            </w:pPr>
            <w:r>
              <w:rPr>
                <w:lang w:val="en-GB"/>
              </w:rPr>
              <w:fldChar w:fldCharType="begin">
                <w:ffData>
                  <w:name w:val="Check2"/>
                  <w:enabled/>
                  <w:calcOnExit w:val="0"/>
                  <w:checkBox>
                    <w:sizeAuto/>
                    <w:default w:val="0"/>
                    <w:checked w:val="0"/>
                  </w:checkBox>
                </w:ffData>
              </w:fldChar>
            </w:r>
            <w:bookmarkStart w:id="8" w:name="Check2"/>
            <w:r>
              <w:rPr>
                <w:lang w:val="en-GB"/>
              </w:rPr>
              <w:instrText xml:space="preserve"> FORMCHECKBOX </w:instrText>
            </w:r>
            <w:r w:rsidR="00834C98">
              <w:rPr>
                <w:lang w:val="en-GB"/>
              </w:rPr>
            </w:r>
            <w:r w:rsidR="00834C98">
              <w:rPr>
                <w:lang w:val="en-GB"/>
              </w:rPr>
              <w:fldChar w:fldCharType="separate"/>
            </w:r>
            <w:r>
              <w:rPr>
                <w:lang w:val="en-GB"/>
              </w:rPr>
              <w:fldChar w:fldCharType="end"/>
            </w:r>
            <w:bookmarkEnd w:id="8"/>
            <w:r>
              <w:rPr>
                <w:lang w:val="en-GB"/>
              </w:rPr>
              <w:t xml:space="preserve"> NO</w:t>
            </w:r>
          </w:p>
        </w:tc>
      </w:tr>
    </w:tbl>
    <w:p w:rsidR="00E04B90" w:rsidRDefault="00E04B90" w:rsidP="00C6590F">
      <w:pP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r w:rsidRPr="00E04B90">
        <w:rPr>
          <w:rFonts w:eastAsia="Times New Roman"/>
          <w:b/>
          <w:bCs/>
          <w:spacing w:val="4"/>
          <w:w w:val="103"/>
          <w:kern w:val="14"/>
          <w:sz w:val="22"/>
          <w:szCs w:val="22"/>
          <w:lang w:val="en-GB" w:eastAsia="en-US"/>
        </w:rPr>
        <w:t>PLEASE RETURN THIS QUESTIONNAIRE (</w:t>
      </w:r>
      <w:r w:rsidR="00782AE3">
        <w:rPr>
          <w:rFonts w:eastAsia="Times New Roman"/>
          <w:b/>
          <w:bCs/>
          <w:spacing w:val="4"/>
          <w:w w:val="103"/>
          <w:kern w:val="14"/>
          <w:sz w:val="22"/>
          <w:szCs w:val="22"/>
          <w:u w:val="single"/>
          <w:lang w:val="en-GB" w:eastAsia="en-US"/>
        </w:rPr>
        <w:t>WORD VERSION</w:t>
      </w:r>
      <w:r w:rsidRPr="00E04B90">
        <w:rPr>
          <w:rFonts w:eastAsia="Times New Roman"/>
          <w:b/>
          <w:bCs/>
          <w:spacing w:val="4"/>
          <w:w w:val="103"/>
          <w:kern w:val="14"/>
          <w:sz w:val="22"/>
          <w:szCs w:val="22"/>
          <w:lang w:val="en-GB" w:eastAsia="en-US"/>
        </w:rPr>
        <w:t>) TO:</w:t>
      </w: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p>
    <w:p w:rsidR="00D458EA" w:rsidRPr="00D458EA" w:rsidRDefault="00D458EA" w:rsidP="00D458EA">
      <w:pPr>
        <w:tabs>
          <w:tab w:val="center" w:pos="5400"/>
          <w:tab w:val="left" w:pos="10093"/>
        </w:tabs>
        <w:suppressAutoHyphens/>
        <w:spacing w:line="240" w:lineRule="exact"/>
        <w:jc w:val="center"/>
        <w:rPr>
          <w:rFonts w:eastAsia="Times New Roman"/>
          <w:b/>
          <w:bCs/>
          <w:spacing w:val="4"/>
          <w:w w:val="103"/>
          <w:kern w:val="14"/>
          <w:sz w:val="22"/>
          <w:szCs w:val="22"/>
          <w:lang w:val="de-AT" w:eastAsia="en-US"/>
        </w:rPr>
      </w:pPr>
      <w:r w:rsidRPr="00D458EA">
        <w:rPr>
          <w:rFonts w:eastAsia="Times New Roman"/>
          <w:b/>
          <w:bCs/>
          <w:spacing w:val="4"/>
          <w:w w:val="103"/>
          <w:kern w:val="14"/>
          <w:sz w:val="22"/>
          <w:szCs w:val="22"/>
          <w:lang w:val="en-GB" w:eastAsia="en-US"/>
        </w:rPr>
        <w:t>United Nations Office on Drugs and Crime (UNODC)</w:t>
      </w:r>
    </w:p>
    <w:p w:rsidR="00E04B90" w:rsidRPr="00E04B90" w:rsidRDefault="00E04B90" w:rsidP="00D458EA">
      <w:pPr>
        <w:tabs>
          <w:tab w:val="center" w:pos="5400"/>
          <w:tab w:val="left" w:pos="10093"/>
        </w:tabs>
        <w:suppressAutoHyphens/>
        <w:spacing w:line="240" w:lineRule="exact"/>
        <w:jc w:val="center"/>
        <w:rPr>
          <w:rFonts w:eastAsia="Times New Roman"/>
          <w:b/>
          <w:bCs/>
          <w:spacing w:val="4"/>
          <w:w w:val="103"/>
          <w:kern w:val="14"/>
          <w:sz w:val="22"/>
          <w:szCs w:val="22"/>
          <w:lang w:val="en-GB" w:eastAsia="en-US"/>
        </w:rPr>
      </w:pPr>
      <w:r w:rsidRPr="00E04B90">
        <w:rPr>
          <w:rFonts w:eastAsia="Times New Roman"/>
          <w:b/>
          <w:bCs/>
          <w:spacing w:val="4"/>
          <w:w w:val="103"/>
          <w:kern w:val="14"/>
          <w:sz w:val="22"/>
          <w:szCs w:val="22"/>
          <w:lang w:val="en-GB" w:eastAsia="en-US"/>
        </w:rPr>
        <w:t>Secretariat to the Governing Bodies</w:t>
      </w:r>
    </w:p>
    <w:p w:rsidR="00782AE3" w:rsidRPr="00167820" w:rsidRDefault="00C6590F" w:rsidP="00C6590F">
      <w:pPr>
        <w:tabs>
          <w:tab w:val="center" w:pos="5400"/>
          <w:tab w:val="right" w:pos="10800"/>
        </w:tabs>
        <w:suppressAutoHyphens/>
        <w:spacing w:line="240" w:lineRule="exact"/>
        <w:rPr>
          <w:rFonts w:eastAsia="Times New Roman"/>
          <w:b/>
          <w:bCs/>
          <w:spacing w:val="4"/>
          <w:w w:val="103"/>
          <w:kern w:val="14"/>
          <w:sz w:val="22"/>
          <w:szCs w:val="22"/>
          <w:lang w:val="de-AT" w:eastAsia="en-US"/>
        </w:rPr>
      </w:pPr>
      <w:r>
        <w:rPr>
          <w:rFonts w:eastAsia="Times New Roman"/>
          <w:b/>
          <w:bCs/>
          <w:spacing w:val="4"/>
          <w:w w:val="103"/>
          <w:kern w:val="14"/>
          <w:sz w:val="22"/>
          <w:szCs w:val="22"/>
          <w:lang w:val="en-GB" w:eastAsia="en-US"/>
        </w:rPr>
        <w:tab/>
      </w:r>
      <w:proofErr w:type="spellStart"/>
      <w:r w:rsidR="00E04B90" w:rsidRPr="00167820">
        <w:rPr>
          <w:rFonts w:eastAsia="Times New Roman"/>
          <w:b/>
          <w:bCs/>
          <w:spacing w:val="4"/>
          <w:w w:val="103"/>
          <w:kern w:val="14"/>
          <w:sz w:val="22"/>
          <w:szCs w:val="22"/>
          <w:lang w:val="de-AT" w:eastAsia="en-US"/>
        </w:rPr>
        <w:t>E-mail</w:t>
      </w:r>
      <w:proofErr w:type="spellEnd"/>
      <w:r w:rsidR="00E04B90" w:rsidRPr="00167820">
        <w:rPr>
          <w:rFonts w:eastAsia="Times New Roman"/>
          <w:b/>
          <w:bCs/>
          <w:spacing w:val="4"/>
          <w:w w:val="103"/>
          <w:kern w:val="14"/>
          <w:sz w:val="22"/>
          <w:szCs w:val="22"/>
          <w:lang w:val="de-AT" w:eastAsia="en-US"/>
        </w:rPr>
        <w:t xml:space="preserve">: </w:t>
      </w:r>
      <w:hyperlink r:id="rId8" w:history="1">
        <w:r w:rsidR="00167820" w:rsidRPr="00167820">
          <w:rPr>
            <w:rStyle w:val="Hyperlink"/>
            <w:rFonts w:eastAsia="Times New Roman"/>
            <w:b/>
            <w:bCs/>
            <w:spacing w:val="4"/>
            <w:w w:val="103"/>
            <w:kern w:val="14"/>
            <w:sz w:val="22"/>
            <w:szCs w:val="22"/>
            <w:lang w:val="de-AT" w:eastAsia="en-US"/>
          </w:rPr>
          <w:t>unodc-sgb@un.org</w:t>
        </w:r>
      </w:hyperlink>
      <w:r w:rsidR="00E04B90" w:rsidRPr="00167820">
        <w:rPr>
          <w:rFonts w:eastAsia="Times New Roman"/>
          <w:b/>
          <w:bCs/>
          <w:spacing w:val="4"/>
          <w:w w:val="103"/>
          <w:kern w:val="14"/>
          <w:sz w:val="22"/>
          <w:szCs w:val="22"/>
          <w:lang w:val="de-AT" w:eastAsia="en-US"/>
        </w:rPr>
        <w:t xml:space="preserve"> </w:t>
      </w:r>
    </w:p>
    <w:p w:rsidR="00782AE3" w:rsidRPr="00167820"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en-GB" w:eastAsia="en-US"/>
        </w:rPr>
      </w:pPr>
      <w:r w:rsidRPr="00167820">
        <w:rPr>
          <w:rFonts w:eastAsia="Times New Roman"/>
          <w:b/>
          <w:bCs/>
          <w:spacing w:val="4"/>
          <w:w w:val="103"/>
          <w:kern w:val="14"/>
          <w:sz w:val="22"/>
          <w:szCs w:val="22"/>
          <w:lang w:val="de-AT" w:eastAsia="en-US"/>
        </w:rPr>
        <w:t xml:space="preserve">Copy: </w:t>
      </w:r>
      <w:hyperlink r:id="rId9" w:history="1">
        <w:r w:rsidR="00AD0B9E" w:rsidRPr="00AD0B9E">
          <w:rPr>
            <w:rStyle w:val="Hyperlink"/>
            <w:rFonts w:eastAsia="Times New Roman"/>
            <w:b/>
            <w:bCs/>
            <w:spacing w:val="4"/>
            <w:w w:val="103"/>
            <w:kern w:val="14"/>
            <w:sz w:val="22"/>
            <w:szCs w:val="22"/>
            <w:lang w:val="de-AT" w:eastAsia="en-US"/>
          </w:rPr>
          <w:t>stephane.audra@un.org</w:t>
        </w:r>
      </w:hyperlink>
      <w:r w:rsidRPr="00167820">
        <w:rPr>
          <w:rFonts w:eastAsia="Times New Roman"/>
          <w:b/>
          <w:bCs/>
          <w:spacing w:val="4"/>
          <w:w w:val="103"/>
          <w:kern w:val="14"/>
          <w:sz w:val="22"/>
          <w:szCs w:val="22"/>
          <w:lang w:val="en-GB" w:eastAsia="en-US"/>
        </w:rPr>
        <w:t xml:space="preserve"> </w:t>
      </w:r>
    </w:p>
    <w:p w:rsidR="00E04B90" w:rsidRPr="008249DA" w:rsidRDefault="00E04B90" w:rsidP="00E04B90">
      <w:pPr>
        <w:suppressAutoHyphens/>
        <w:spacing w:line="240" w:lineRule="exact"/>
        <w:jc w:val="center"/>
        <w:rPr>
          <w:rFonts w:eastAsia="Times New Roman"/>
          <w:b/>
          <w:spacing w:val="4"/>
          <w:w w:val="103"/>
          <w:kern w:val="14"/>
          <w:lang w:val="de-AT" w:eastAsia="en-US"/>
        </w:rPr>
      </w:pPr>
    </w:p>
    <w:p w:rsidR="00E04B90" w:rsidRPr="00782AE3" w:rsidRDefault="00E04B90" w:rsidP="00E04B90">
      <w:pPr>
        <w:suppressAutoHyphens/>
        <w:spacing w:line="240" w:lineRule="exact"/>
        <w:jc w:val="center"/>
        <w:rPr>
          <w:rFonts w:eastAsia="Times New Roman"/>
          <w:b/>
          <w:spacing w:val="4"/>
          <w:w w:val="103"/>
          <w:kern w:val="14"/>
          <w:sz w:val="28"/>
          <w:szCs w:val="28"/>
          <w:lang w:val="en-GB" w:eastAsia="en-US"/>
        </w:rPr>
      </w:pPr>
      <w:r w:rsidRPr="00782AE3">
        <w:rPr>
          <w:rFonts w:eastAsia="Times New Roman"/>
          <w:b/>
          <w:spacing w:val="4"/>
          <w:w w:val="103"/>
          <w:kern w:val="14"/>
          <w:sz w:val="28"/>
          <w:szCs w:val="28"/>
          <w:lang w:val="en-GB" w:eastAsia="en-US"/>
        </w:rPr>
        <w:t xml:space="preserve">by </w:t>
      </w:r>
      <w:r w:rsidR="00167820" w:rsidRPr="00B22703">
        <w:rPr>
          <w:rFonts w:eastAsia="Times New Roman"/>
          <w:b/>
          <w:spacing w:val="4"/>
          <w:w w:val="103"/>
          <w:kern w:val="14"/>
          <w:sz w:val="28"/>
          <w:szCs w:val="28"/>
          <w:lang w:val="en-GB" w:eastAsia="en-US"/>
        </w:rPr>
        <w:t>2</w:t>
      </w:r>
      <w:r w:rsidR="00AD0B9E">
        <w:rPr>
          <w:rFonts w:eastAsia="Times New Roman"/>
          <w:b/>
          <w:spacing w:val="4"/>
          <w:w w:val="103"/>
          <w:kern w:val="14"/>
          <w:sz w:val="28"/>
          <w:szCs w:val="28"/>
          <w:lang w:val="en-GB" w:eastAsia="en-US"/>
        </w:rPr>
        <w:t>4</w:t>
      </w:r>
      <w:r w:rsidR="00485C82" w:rsidRPr="00B22703">
        <w:rPr>
          <w:rFonts w:eastAsia="Times New Roman"/>
          <w:b/>
          <w:spacing w:val="4"/>
          <w:w w:val="103"/>
          <w:kern w:val="14"/>
          <w:sz w:val="28"/>
          <w:szCs w:val="28"/>
          <w:lang w:val="en-GB" w:eastAsia="en-US"/>
        </w:rPr>
        <w:t xml:space="preserve"> Ju</w:t>
      </w:r>
      <w:r w:rsidR="00D458EA" w:rsidRPr="00B22703">
        <w:rPr>
          <w:rFonts w:eastAsia="Times New Roman"/>
          <w:b/>
          <w:spacing w:val="4"/>
          <w:w w:val="103"/>
          <w:kern w:val="14"/>
          <w:sz w:val="28"/>
          <w:szCs w:val="28"/>
          <w:lang w:val="en-GB" w:eastAsia="en-US"/>
        </w:rPr>
        <w:t>ly</w:t>
      </w:r>
      <w:r w:rsidR="00485C82" w:rsidRPr="00B22703">
        <w:rPr>
          <w:rFonts w:eastAsia="Times New Roman"/>
          <w:b/>
          <w:spacing w:val="4"/>
          <w:w w:val="103"/>
          <w:kern w:val="14"/>
          <w:sz w:val="28"/>
          <w:szCs w:val="28"/>
          <w:lang w:val="en-GB" w:eastAsia="en-US"/>
        </w:rPr>
        <w:t xml:space="preserve"> </w:t>
      </w:r>
      <w:r w:rsidRPr="00B22703">
        <w:rPr>
          <w:rFonts w:eastAsia="Times New Roman"/>
          <w:b/>
          <w:spacing w:val="4"/>
          <w:w w:val="103"/>
          <w:kern w:val="14"/>
          <w:sz w:val="28"/>
          <w:szCs w:val="28"/>
          <w:lang w:val="en-GB" w:eastAsia="en-US"/>
        </w:rPr>
        <w:t>20</w:t>
      </w:r>
      <w:r w:rsidR="00AD0B9E">
        <w:rPr>
          <w:rFonts w:eastAsia="Times New Roman"/>
          <w:b/>
          <w:spacing w:val="4"/>
          <w:w w:val="103"/>
          <w:kern w:val="14"/>
          <w:sz w:val="28"/>
          <w:szCs w:val="28"/>
          <w:lang w:val="en-GB" w:eastAsia="en-US"/>
        </w:rPr>
        <w:t>20</w:t>
      </w: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BD0DE6" w:rsidRPr="00BD0DE6" w:rsidRDefault="00BD0DE6" w:rsidP="00BD0DE6">
      <w:pPr>
        <w:suppressAutoHyphens/>
        <w:jc w:val="center"/>
        <w:rPr>
          <w:rFonts w:eastAsia="Times New Roman"/>
          <w:b/>
          <w:spacing w:val="4"/>
          <w:w w:val="103"/>
          <w:kern w:val="14"/>
          <w:lang w:val="en-GB" w:eastAsia="en-US"/>
        </w:rPr>
      </w:pPr>
      <w:r w:rsidRPr="00BD0DE6">
        <w:rPr>
          <w:rFonts w:eastAsia="Times New Roman"/>
          <w:b/>
          <w:spacing w:val="4"/>
          <w:w w:val="103"/>
          <w:kern w:val="14"/>
          <w:lang w:val="en-GB" w:eastAsia="en-US"/>
        </w:rPr>
        <w:t>Guidance Note for completing the questionnaire on</w:t>
      </w:r>
    </w:p>
    <w:p w:rsidR="00BD0DE6" w:rsidRPr="00BD0DE6" w:rsidRDefault="00BD0DE6" w:rsidP="00BD0DE6">
      <w:pPr>
        <w:suppressAutoHyphens/>
        <w:jc w:val="center"/>
        <w:rPr>
          <w:rFonts w:eastAsia="Times New Roman"/>
          <w:b/>
          <w:spacing w:val="4"/>
          <w:w w:val="103"/>
          <w:kern w:val="14"/>
          <w:sz w:val="28"/>
          <w:szCs w:val="28"/>
          <w:lang w:val="en-GB" w:eastAsia="en-US"/>
        </w:rPr>
      </w:pPr>
      <w:r w:rsidRPr="00BD0DE6">
        <w:rPr>
          <w:rFonts w:eastAsia="Times New Roman"/>
          <w:b/>
          <w:spacing w:val="4"/>
          <w:w w:val="103"/>
          <w:kern w:val="14"/>
          <w:lang w:val="en-GB" w:eastAsia="en-US"/>
        </w:rPr>
        <w:t xml:space="preserve">implementation of recommendations </w:t>
      </w: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The Secretariat kindly invites Governments to </w:t>
      </w:r>
      <w:r w:rsidR="00723925">
        <w:rPr>
          <w:rFonts w:eastAsia="Times New Roman"/>
          <w:spacing w:val="4"/>
          <w:w w:val="103"/>
          <w:kern w:val="14"/>
          <w:lang w:val="en-GB" w:eastAsia="en-US"/>
        </w:rPr>
        <w:t>follow the guidelines below</w:t>
      </w:r>
      <w:r w:rsidR="00723925" w:rsidRPr="00BD0DE6">
        <w:rPr>
          <w:rFonts w:eastAsia="Times New Roman"/>
          <w:spacing w:val="4"/>
          <w:w w:val="103"/>
          <w:kern w:val="14"/>
          <w:lang w:val="en-GB" w:eastAsia="en-US"/>
        </w:rPr>
        <w:t xml:space="preserve"> </w:t>
      </w:r>
      <w:r w:rsidRPr="00BD0DE6">
        <w:rPr>
          <w:rFonts w:eastAsia="Times New Roman"/>
          <w:spacing w:val="4"/>
          <w:w w:val="103"/>
          <w:kern w:val="14"/>
          <w:lang w:val="en-GB" w:eastAsia="en-US"/>
        </w:rPr>
        <w:t>when replying to the questionnaire:</w:t>
      </w: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b/>
          <w:spacing w:val="4"/>
          <w:w w:val="103"/>
          <w:kern w:val="14"/>
          <w:lang w:val="en-GB" w:eastAsia="en-US"/>
        </w:rPr>
        <w:t>Summarize</w:t>
      </w:r>
      <w:r w:rsidRPr="00BD0DE6">
        <w:rPr>
          <w:rFonts w:eastAsia="Times New Roman"/>
          <w:spacing w:val="4"/>
          <w:w w:val="103"/>
          <w:kern w:val="14"/>
          <w:lang w:val="en-GB" w:eastAsia="en-US"/>
        </w:rPr>
        <w:t xml:space="preserve"> </w:t>
      </w:r>
      <w:r w:rsidRPr="00BD0DE6">
        <w:rPr>
          <w:rFonts w:eastAsia="Times New Roman"/>
          <w:b/>
          <w:spacing w:val="4"/>
          <w:w w:val="103"/>
          <w:kern w:val="14"/>
          <w:lang w:val="en-GB" w:eastAsia="en-US"/>
        </w:rPr>
        <w:t>action taken</w:t>
      </w:r>
      <w:r w:rsidRPr="00BD0DE6">
        <w:rPr>
          <w:rFonts w:eastAsia="Times New Roman"/>
          <w:spacing w:val="4"/>
          <w:w w:val="103"/>
          <w:kern w:val="14"/>
          <w:lang w:val="en-GB" w:eastAsia="en-US"/>
        </w:rPr>
        <w:t xml:space="preserve"> on the implementation of each recommendation in no more than 200 words;</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Provide </w:t>
      </w:r>
      <w:r w:rsidRPr="00BD0DE6">
        <w:rPr>
          <w:rFonts w:eastAsia="Times New Roman"/>
          <w:b/>
          <w:spacing w:val="4"/>
          <w:w w:val="103"/>
          <w:kern w:val="14"/>
          <w:lang w:val="en-GB" w:eastAsia="en-US"/>
        </w:rPr>
        <w:t>complete references</w:t>
      </w:r>
      <w:r w:rsidRPr="00BD0DE6">
        <w:rPr>
          <w:rFonts w:eastAsia="Times New Roman"/>
          <w:spacing w:val="4"/>
          <w:w w:val="103"/>
          <w:kern w:val="14"/>
          <w:lang w:val="en-GB" w:eastAsia="en-US"/>
        </w:rPr>
        <w:t xml:space="preserve"> to legislation or to any other document if relevant for the implementation of each recommendation;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Where possible and applicable, provide </w:t>
      </w:r>
      <w:r w:rsidRPr="00BD0DE6">
        <w:rPr>
          <w:rFonts w:eastAsia="Times New Roman"/>
          <w:b/>
          <w:spacing w:val="4"/>
          <w:w w:val="103"/>
          <w:kern w:val="14"/>
          <w:lang w:val="en-GB" w:eastAsia="en-US"/>
        </w:rPr>
        <w:t xml:space="preserve">quantified data </w:t>
      </w:r>
      <w:r w:rsidRPr="00BD0DE6">
        <w:rPr>
          <w:rFonts w:eastAsia="Times New Roman"/>
          <w:spacing w:val="4"/>
          <w:w w:val="103"/>
          <w:kern w:val="14"/>
          <w:lang w:val="en-GB" w:eastAsia="en-US"/>
        </w:rPr>
        <w:t>in addition to description of action taken;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If applicable, provide information on the </w:t>
      </w:r>
      <w:r w:rsidRPr="00BD0DE6">
        <w:rPr>
          <w:rFonts w:eastAsia="Times New Roman"/>
          <w:b/>
          <w:spacing w:val="4"/>
          <w:w w:val="103"/>
          <w:kern w:val="14"/>
          <w:lang w:val="en-GB" w:eastAsia="en-US"/>
        </w:rPr>
        <w:t>main obstacles to the implementation</w:t>
      </w:r>
      <w:r w:rsidRPr="00BD0DE6">
        <w:rPr>
          <w:rFonts w:eastAsia="Times New Roman"/>
          <w:spacing w:val="4"/>
          <w:w w:val="103"/>
          <w:kern w:val="14"/>
          <w:lang w:val="en-GB" w:eastAsia="en-US"/>
        </w:rPr>
        <w:t xml:space="preserve"> of a recommendation.</w:t>
      </w:r>
    </w:p>
    <w:p w:rsidR="002972FC" w:rsidRPr="002972FC" w:rsidRDefault="002972FC" w:rsidP="002972FC">
      <w:pPr>
        <w:pStyle w:val="ListParagraph"/>
        <w:rPr>
          <w:rFonts w:eastAsia="Times New Roman"/>
          <w:spacing w:val="4"/>
          <w:w w:val="103"/>
          <w:kern w:val="14"/>
          <w:lang w:val="en-GB" w:eastAsia="en-US"/>
        </w:rPr>
      </w:pPr>
    </w:p>
    <w:p w:rsidR="00D458EA" w:rsidRDefault="00D458EA">
      <w:pPr>
        <w:rPr>
          <w:rFonts w:eastAsia="Times New Roman"/>
          <w:spacing w:val="4"/>
          <w:w w:val="103"/>
          <w:kern w:val="14"/>
          <w:lang w:val="en-GB" w:eastAsia="en-US"/>
        </w:rPr>
      </w:pPr>
    </w:p>
    <w:p w:rsidR="00D458EA" w:rsidRDefault="00D458EA">
      <w:pPr>
        <w:rPr>
          <w:rFonts w:eastAsia="Times New Roman"/>
          <w:spacing w:val="4"/>
          <w:w w:val="103"/>
          <w:kern w:val="14"/>
          <w:lang w:val="en-GB" w:eastAsia="en-US"/>
        </w:rPr>
      </w:pPr>
    </w:p>
    <w:p w:rsidR="00D458EA" w:rsidRDefault="00D458EA">
      <w:pPr>
        <w:rPr>
          <w:rFonts w:eastAsia="Times New Roman"/>
          <w:spacing w:val="4"/>
          <w:w w:val="103"/>
          <w:kern w:val="14"/>
          <w:lang w:val="en-GB" w:eastAsia="en-US"/>
        </w:rPr>
      </w:pPr>
    </w:p>
    <w:p w:rsidR="002972FC" w:rsidRDefault="002972FC">
      <w:pPr>
        <w:rPr>
          <w:rFonts w:eastAsia="Times New Roman"/>
          <w:spacing w:val="4"/>
          <w:w w:val="103"/>
          <w:kern w:val="14"/>
          <w:lang w:val="en-GB" w:eastAsia="en-US"/>
        </w:rPr>
      </w:pPr>
      <w:r>
        <w:rPr>
          <w:rFonts w:eastAsia="Times New Roman"/>
          <w:spacing w:val="4"/>
          <w:w w:val="103"/>
          <w:kern w:val="14"/>
          <w:lang w:val="en-GB"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72FC" w:rsidTr="00BF14F8">
        <w:trPr>
          <w:trHeight w:val="567"/>
        </w:trPr>
        <w:tc>
          <w:tcPr>
            <w:tcW w:w="10800" w:type="dxa"/>
            <w:tcBorders>
              <w:bottom w:val="single" w:sz="4" w:space="0" w:color="auto"/>
            </w:tcBorders>
            <w:vAlign w:val="center"/>
          </w:tcPr>
          <w:p w:rsidR="002972FC" w:rsidRPr="00DB07F7" w:rsidRDefault="002972FC" w:rsidP="00DB07F7">
            <w:pPr>
              <w:widowControl w:val="0"/>
              <w:suppressAutoHyphens/>
              <w:spacing w:line="240" w:lineRule="exact"/>
              <w:ind w:right="1019"/>
              <w:rPr>
                <w:rFonts w:eastAsia="Times New Roman"/>
                <w:b/>
                <w:spacing w:val="4"/>
                <w:w w:val="103"/>
                <w:kern w:val="14"/>
                <w:sz w:val="28"/>
                <w:szCs w:val="28"/>
                <w:lang w:val="en-GB" w:eastAsia="en-US"/>
              </w:rPr>
            </w:pPr>
            <w:r w:rsidRPr="006358B4">
              <w:rPr>
                <w:rFonts w:eastAsia="Times New Roman"/>
                <w:b/>
                <w:spacing w:val="4"/>
                <w:w w:val="103"/>
                <w:kern w:val="14"/>
                <w:sz w:val="28"/>
                <w:szCs w:val="28"/>
                <w:lang w:val="en-GB" w:eastAsia="en-US"/>
              </w:rPr>
              <w:lastRenderedPageBreak/>
              <w:t>Issue I</w:t>
            </w:r>
          </w:p>
        </w:tc>
      </w:tr>
      <w:tr w:rsidR="002972FC" w:rsidRPr="00167820" w:rsidTr="00BF14F8">
        <w:trPr>
          <w:trHeight w:val="567"/>
        </w:trPr>
        <w:tc>
          <w:tcPr>
            <w:tcW w:w="10800" w:type="dxa"/>
            <w:tcBorders>
              <w:top w:val="single" w:sz="4" w:space="0" w:color="auto"/>
            </w:tcBorders>
            <w:vAlign w:val="center"/>
          </w:tcPr>
          <w:p w:rsidR="002972FC" w:rsidRPr="00167820" w:rsidRDefault="00AD0B9E" w:rsidP="00BF14F8">
            <w:pPr>
              <w:widowControl w:val="0"/>
              <w:suppressAutoHyphens/>
              <w:spacing w:line="240" w:lineRule="exact"/>
              <w:ind w:right="1019"/>
              <w:rPr>
                <w:rFonts w:eastAsia="Times New Roman"/>
                <w:b/>
                <w:spacing w:val="4"/>
                <w:w w:val="103"/>
                <w:kern w:val="14"/>
                <w:sz w:val="28"/>
                <w:szCs w:val="28"/>
                <w:highlight w:val="yellow"/>
                <w:lang w:val="en-GB" w:eastAsia="en-US"/>
              </w:rPr>
            </w:pPr>
            <w:r w:rsidRPr="00BB48BF">
              <w:rPr>
                <w:rFonts w:eastAsia="Times New Roman"/>
                <w:b/>
                <w:spacing w:val="4"/>
                <w:w w:val="103"/>
                <w:kern w:val="14"/>
                <w:sz w:val="28"/>
                <w:szCs w:val="28"/>
                <w:lang w:val="en-GB" w:eastAsia="en-US"/>
              </w:rPr>
              <w:t>Intelligence-led policing based on criminal intelligence collection, collation, analysis and sharing at the national, regional and international levels</w:t>
            </w:r>
          </w:p>
        </w:tc>
      </w:tr>
      <w:tr w:rsidR="002972FC" w:rsidRPr="00146D8F" w:rsidTr="00BF14F8">
        <w:trPr>
          <w:trHeight w:val="567"/>
        </w:trPr>
        <w:tc>
          <w:tcPr>
            <w:tcW w:w="10800" w:type="dxa"/>
            <w:vAlign w:val="center"/>
          </w:tcPr>
          <w:p w:rsidR="002972FC" w:rsidRPr="00146D8F" w:rsidRDefault="002972FC" w:rsidP="00DB07F7">
            <w:pPr>
              <w:widowControl w:val="0"/>
              <w:suppressAutoHyphens/>
              <w:spacing w:line="240" w:lineRule="exact"/>
              <w:ind w:right="1019"/>
              <w:rPr>
                <w:rFonts w:eastAsia="Times New Roman"/>
                <w:b/>
                <w:spacing w:val="4"/>
                <w:w w:val="103"/>
                <w:kern w:val="14"/>
                <w:lang w:val="en-GB" w:eastAsia="en-US"/>
              </w:rPr>
            </w:pPr>
            <w:r w:rsidRPr="00146D8F">
              <w:rPr>
                <w:rFonts w:eastAsia="Times New Roman"/>
                <w:b/>
                <w:spacing w:val="4"/>
                <w:w w:val="103"/>
                <w:kern w:val="14"/>
                <w:lang w:val="en-GB" w:eastAsia="en-US"/>
              </w:rPr>
              <w:t>Recommendation 1</w:t>
            </w:r>
          </w:p>
        </w:tc>
      </w:tr>
    </w:tbl>
    <w:p w:rsidR="00955E9A" w:rsidRPr="00DB07F7" w:rsidRDefault="00AD0B9E" w:rsidP="00834C98">
      <w:pPr>
        <w:framePr w:w="10694" w:h="1247" w:hSpace="181" w:wrap="around" w:vAnchor="text" w:hAnchor="page" w:x="772" w:y="12"/>
        <w:pBdr>
          <w:top w:val="single" w:sz="6" w:space="1" w:color="auto"/>
          <w:left w:val="single" w:sz="6" w:space="1" w:color="auto"/>
          <w:bottom w:val="single" w:sz="6" w:space="1" w:color="auto"/>
          <w:right w:val="single" w:sz="6" w:space="1" w:color="auto"/>
        </w:pBdr>
        <w:jc w:val="both"/>
        <w:rPr>
          <w:lang w:val="en-GB"/>
        </w:rPr>
      </w:pPr>
      <w:r w:rsidRPr="00BB48BF">
        <w:rPr>
          <w:lang w:val="en-GB"/>
        </w:rPr>
        <w:t>Governments are encouraged to develop or update training materials and tools on criminal intelligence analysis and practice regular training in this area, specifically by the specialized law enforcement training and education institutions. Training programmes might be focused on various levels, i.e. for managers, front-line officers and intelligence analysts</w:t>
      </w:r>
      <w:r w:rsidR="00844C9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72FC" w:rsidRPr="001F5BD5" w:rsidTr="00DB07F7">
        <w:tc>
          <w:tcPr>
            <w:tcW w:w="11016" w:type="dxa"/>
          </w:tcPr>
          <w:p w:rsidR="00DB07F7" w:rsidRDefault="00DB07F7" w:rsidP="00DB07F7">
            <w:pPr>
              <w:widowControl w:val="0"/>
              <w:suppressAutoHyphens/>
              <w:spacing w:line="240" w:lineRule="exact"/>
              <w:ind w:right="1019"/>
              <w:jc w:val="both"/>
              <w:rPr>
                <w:rFonts w:eastAsia="Times New Roman"/>
                <w:spacing w:val="4"/>
                <w:w w:val="103"/>
                <w:kern w:val="14"/>
                <w:lang w:val="en-GB" w:eastAsia="en-US"/>
              </w:rPr>
            </w:pPr>
          </w:p>
          <w:p w:rsidR="002972FC" w:rsidRPr="001F5BD5" w:rsidRDefault="00DB07F7" w:rsidP="00485C82">
            <w:pPr>
              <w:widowControl w:val="0"/>
              <w:suppressAutoHyphens/>
              <w:spacing w:before="120" w:after="120" w:line="240" w:lineRule="exact"/>
              <w:ind w:right="1021"/>
              <w:jc w:val="both"/>
              <w:rPr>
                <w:rFonts w:eastAsia="Times New Roman"/>
                <w:spacing w:val="4"/>
                <w:w w:val="103"/>
                <w:kern w:val="14"/>
                <w:lang w:val="en-GB" w:eastAsia="en-US"/>
              </w:rPr>
            </w:pPr>
            <w:r w:rsidRPr="001F5BD5">
              <w:rPr>
                <w:rFonts w:eastAsia="Times New Roman"/>
                <w:spacing w:val="4"/>
                <w:w w:val="103"/>
                <w:kern w:val="14"/>
                <w:lang w:val="en-GB" w:eastAsia="en-US"/>
              </w:rPr>
              <w:t xml:space="preserve">Any action taken  </w:t>
            </w:r>
            <w:r w:rsidR="00485C82" w:rsidRPr="001F5BD5">
              <w:rPr>
                <w:rFonts w:eastAsia="Times New Roman"/>
                <w:spacing w:val="4"/>
                <w:w w:val="103"/>
                <w:kern w:val="14"/>
                <w:lang w:val="en-GB" w:eastAsia="en-US"/>
              </w:rPr>
              <w:fldChar w:fldCharType="begin">
                <w:ffData>
                  <w:name w:val="Check4"/>
                  <w:enabled/>
                  <w:calcOnExit w:val="0"/>
                  <w:checkBox>
                    <w:sizeAuto/>
                    <w:default w:val="0"/>
                  </w:checkBox>
                </w:ffData>
              </w:fldChar>
            </w:r>
            <w:r w:rsidR="00485C82" w:rsidRPr="001F5BD5">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sidR="00485C82" w:rsidRPr="001F5BD5">
              <w:rPr>
                <w:rFonts w:eastAsia="Times New Roman"/>
                <w:spacing w:val="4"/>
                <w:w w:val="103"/>
                <w:kern w:val="14"/>
                <w:lang w:val="en-GB" w:eastAsia="en-US"/>
              </w:rPr>
              <w:fldChar w:fldCharType="end"/>
            </w:r>
            <w:r w:rsidR="00485C82" w:rsidRPr="001F5BD5">
              <w:rPr>
                <w:rFonts w:eastAsia="Times New Roman"/>
                <w:spacing w:val="4"/>
                <w:w w:val="103"/>
                <w:kern w:val="14"/>
                <w:lang w:val="en-GB" w:eastAsia="en-US"/>
              </w:rPr>
              <w:t xml:space="preserve"> </w:t>
            </w:r>
            <w:r w:rsidRPr="001F5BD5">
              <w:rPr>
                <w:rFonts w:eastAsia="Times New Roman"/>
                <w:spacing w:val="4"/>
                <w:w w:val="103"/>
                <w:kern w:val="14"/>
                <w:lang w:val="en-GB" w:eastAsia="en-US"/>
              </w:rPr>
              <w:t xml:space="preserve">YES </w:t>
            </w:r>
            <w:r w:rsidRPr="001F5BD5">
              <w:rPr>
                <w:rFonts w:eastAsia="Times New Roman"/>
                <w:spacing w:val="4"/>
                <w:w w:val="103"/>
                <w:kern w:val="14"/>
                <w:lang w:val="en-GB" w:eastAsia="en-US"/>
              </w:rPr>
              <w:fldChar w:fldCharType="begin">
                <w:ffData>
                  <w:name w:val="Check4"/>
                  <w:enabled/>
                  <w:calcOnExit w:val="0"/>
                  <w:checkBox>
                    <w:sizeAuto/>
                    <w:default w:val="0"/>
                  </w:checkBox>
                </w:ffData>
              </w:fldChar>
            </w:r>
            <w:bookmarkStart w:id="9" w:name="Check4"/>
            <w:r w:rsidRPr="001F5BD5">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sidRPr="001F5BD5">
              <w:rPr>
                <w:rFonts w:eastAsia="Times New Roman"/>
                <w:spacing w:val="4"/>
                <w:w w:val="103"/>
                <w:kern w:val="14"/>
                <w:lang w:val="en-GB" w:eastAsia="en-US"/>
              </w:rPr>
              <w:fldChar w:fldCharType="end"/>
            </w:r>
            <w:bookmarkEnd w:id="9"/>
            <w:r w:rsidRPr="001F5BD5">
              <w:rPr>
                <w:rFonts w:eastAsia="Times New Roman"/>
                <w:spacing w:val="4"/>
                <w:w w:val="103"/>
                <w:kern w:val="14"/>
                <w:lang w:val="en-GB" w:eastAsia="en-US"/>
              </w:rPr>
              <w:t xml:space="preserve"> NO</w:t>
            </w:r>
            <w:bookmarkStart w:id="10" w:name="_GoBack"/>
            <w:bookmarkEnd w:id="10"/>
          </w:p>
        </w:tc>
      </w:tr>
      <w:tr w:rsidR="002972FC" w:rsidRPr="001F5BD5" w:rsidTr="00DB07F7">
        <w:tc>
          <w:tcPr>
            <w:tcW w:w="11016" w:type="dxa"/>
          </w:tcPr>
          <w:p w:rsidR="002972FC" w:rsidRPr="001F5BD5" w:rsidRDefault="002972FC" w:rsidP="002972FC">
            <w:pPr>
              <w:widowControl w:val="0"/>
              <w:suppressAutoHyphens/>
              <w:spacing w:line="240" w:lineRule="exact"/>
              <w:ind w:right="1019"/>
              <w:jc w:val="both"/>
              <w:rPr>
                <w:rFonts w:eastAsia="Times New Roman"/>
                <w:spacing w:val="4"/>
                <w:w w:val="103"/>
                <w:kern w:val="14"/>
                <w:lang w:val="en-GB" w:eastAsia="en-US"/>
              </w:rPr>
            </w:pPr>
          </w:p>
        </w:tc>
      </w:tr>
      <w:tr w:rsidR="002972FC" w:rsidTr="00DB07F7">
        <w:tc>
          <w:tcPr>
            <w:tcW w:w="11016" w:type="dxa"/>
          </w:tcPr>
          <w:p w:rsidR="002972FC" w:rsidRDefault="00DB07F7" w:rsidP="002972FC">
            <w:pPr>
              <w:widowControl w:val="0"/>
              <w:suppressAutoHyphens/>
              <w:spacing w:line="240" w:lineRule="exact"/>
              <w:ind w:right="1019"/>
              <w:jc w:val="both"/>
              <w:rPr>
                <w:rFonts w:eastAsia="Times New Roman"/>
                <w:spacing w:val="4"/>
                <w:w w:val="103"/>
                <w:kern w:val="14"/>
                <w:lang w:val="en-GB" w:eastAsia="en-US"/>
              </w:rPr>
            </w:pPr>
            <w:r w:rsidRPr="001F5BD5">
              <w:rPr>
                <w:rFonts w:eastAsia="Times New Roman"/>
                <w:spacing w:val="4"/>
                <w:w w:val="103"/>
                <w:kern w:val="14"/>
                <w:lang w:val="en-GB" w:eastAsia="en-US"/>
              </w:rPr>
              <w:t>Comments:</w:t>
            </w:r>
          </w:p>
        </w:tc>
      </w:tr>
    </w:tbl>
    <w:p w:rsidR="00DB07F7" w:rsidRDefault="008249DA" w:rsidP="00DB07F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p w:rsidR="00505EA6" w:rsidRDefault="00505EA6" w:rsidP="002972FC">
      <w:pPr>
        <w:widowControl w:val="0"/>
        <w:suppressAutoHyphens/>
        <w:spacing w:line="240" w:lineRule="exact"/>
        <w:ind w:right="1019"/>
        <w:jc w:val="both"/>
        <w:rPr>
          <w:rFonts w:eastAsia="Times New Roman"/>
          <w:spacing w:val="4"/>
          <w:w w:val="103"/>
          <w:kern w:val="14"/>
          <w:lang w:val="en-GB" w:eastAsia="en-US"/>
        </w:rPr>
      </w:pPr>
    </w:p>
    <w:p w:rsidR="002972FC" w:rsidRPr="002972FC" w:rsidRDefault="002972FC" w:rsidP="002972FC">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46D8F">
        <w:trPr>
          <w:trHeight w:val="567"/>
        </w:trPr>
        <w:tc>
          <w:tcPr>
            <w:tcW w:w="10800"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2</w:t>
            </w:r>
          </w:p>
        </w:tc>
      </w:tr>
    </w:tbl>
    <w:p w:rsidR="001C54D5" w:rsidRPr="00DB07F7" w:rsidRDefault="00844C95" w:rsidP="00834C98">
      <w:pPr>
        <w:framePr w:w="10682" w:h="1077" w:hSpace="181" w:wrap="around" w:vAnchor="text" w:hAnchor="page" w:x="783" w:y="12"/>
        <w:pBdr>
          <w:top w:val="single" w:sz="6" w:space="1" w:color="auto"/>
          <w:left w:val="single" w:sz="6" w:space="1" w:color="auto"/>
          <w:bottom w:val="single" w:sz="6" w:space="1" w:color="auto"/>
          <w:right w:val="single" w:sz="6" w:space="1" w:color="auto"/>
        </w:pBdr>
        <w:jc w:val="both"/>
        <w:rPr>
          <w:lang w:val="en-GB"/>
        </w:rPr>
      </w:pPr>
      <w:r w:rsidRPr="00BB48BF">
        <w:rPr>
          <w:lang w:val="en-GB"/>
        </w:rPr>
        <w:t>Governments should regularly undertake the necessary steps to support trust-building initiatives between law enforcement agencies at the national, regional and international levels, to facilitate exchanges of actionable criminal intelligence</w:t>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C54D5" w:rsidRDefault="001C54D5">
      <w:pPr>
        <w:rPr>
          <w:b/>
          <w:lang w:val="en-GB"/>
        </w:rPr>
      </w:pPr>
      <w:r>
        <w:rPr>
          <w:b/>
          <w:lang w:val="en-GB"/>
        </w:rPr>
        <w:br w:type="page"/>
      </w:r>
    </w:p>
    <w:p w:rsidR="001C54D5" w:rsidRPr="002972FC" w:rsidRDefault="001C54D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46D8F">
        <w:trPr>
          <w:trHeight w:val="567"/>
        </w:trPr>
        <w:tc>
          <w:tcPr>
            <w:tcW w:w="10800"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3</w:t>
            </w:r>
          </w:p>
        </w:tc>
      </w:tr>
    </w:tbl>
    <w:p w:rsidR="001C54D5" w:rsidRPr="00DB07F7" w:rsidRDefault="00844C95" w:rsidP="00834C98">
      <w:pPr>
        <w:framePr w:w="10665" w:h="794" w:hSpace="181" w:wrap="around" w:vAnchor="text" w:hAnchor="page" w:x="783" w:y="1"/>
        <w:pBdr>
          <w:top w:val="single" w:sz="6" w:space="1" w:color="auto"/>
          <w:left w:val="single" w:sz="6" w:space="1" w:color="auto"/>
          <w:bottom w:val="single" w:sz="6" w:space="1" w:color="auto"/>
          <w:right w:val="single" w:sz="6" w:space="1" w:color="auto"/>
        </w:pBdr>
        <w:jc w:val="both"/>
        <w:rPr>
          <w:lang w:val="en-GB"/>
        </w:rPr>
      </w:pPr>
      <w:r w:rsidRPr="00942993">
        <w:t>Governments should support the efforts of law enforcement agencies in strengthening criminal intelligence analysis capacities and in promoting and practicing intelligence-led policing.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F14F8" w:rsidRDefault="00BF14F8" w:rsidP="001C54D5">
      <w:pPr>
        <w:rPr>
          <w:b/>
          <w:lang w:val="en-GB"/>
        </w:rPr>
      </w:pPr>
    </w:p>
    <w:p w:rsidR="0087235F" w:rsidRDefault="0087235F" w:rsidP="001C54D5">
      <w:pPr>
        <w:rPr>
          <w:b/>
          <w:lang w:val="en-GB"/>
        </w:rPr>
      </w:pPr>
    </w:p>
    <w:p w:rsidR="00BF14F8" w:rsidRDefault="00BF14F8" w:rsidP="001C54D5">
      <w:pPr>
        <w:rPr>
          <w:b/>
          <w:lang w:val="en-GB"/>
        </w:rPr>
      </w:pPr>
    </w:p>
    <w:p w:rsidR="00BF14F8" w:rsidRPr="00BD0DE6" w:rsidRDefault="00BF14F8" w:rsidP="00112D74">
      <w:pPr>
        <w:rPr>
          <w:b/>
          <w:lang w:val="en-GB"/>
        </w:rPr>
      </w:pPr>
      <w:bookmarkStart w:id="14" w:name="_Hlk10103848"/>
      <w:r>
        <w:rPr>
          <w:b/>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E3659E">
        <w:trPr>
          <w:trHeight w:val="567"/>
        </w:trPr>
        <w:tc>
          <w:tcPr>
            <w:tcW w:w="10800" w:type="dxa"/>
            <w:vAlign w:val="center"/>
          </w:tcPr>
          <w:bookmarkEnd w:id="14"/>
          <w:p w:rsidR="001C54D5" w:rsidRPr="00DB07F7" w:rsidRDefault="001C54D5" w:rsidP="001C54D5">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 xml:space="preserve">Issue </w:t>
            </w:r>
            <w:r>
              <w:rPr>
                <w:rFonts w:eastAsia="Times New Roman"/>
                <w:b/>
                <w:spacing w:val="4"/>
                <w:w w:val="103"/>
                <w:kern w:val="14"/>
                <w:sz w:val="28"/>
                <w:szCs w:val="28"/>
                <w:lang w:val="en-GB" w:eastAsia="en-US"/>
              </w:rPr>
              <w:t>I</w:t>
            </w:r>
            <w:r w:rsidRPr="00DB07F7">
              <w:rPr>
                <w:rFonts w:eastAsia="Times New Roman"/>
                <w:b/>
                <w:spacing w:val="4"/>
                <w:w w:val="103"/>
                <w:kern w:val="14"/>
                <w:sz w:val="28"/>
                <w:szCs w:val="28"/>
                <w:lang w:val="en-GB" w:eastAsia="en-US"/>
              </w:rPr>
              <w:t>I</w:t>
            </w:r>
          </w:p>
        </w:tc>
      </w:tr>
      <w:tr w:rsidR="00E3659E" w:rsidTr="00E3659E">
        <w:trPr>
          <w:trHeight w:val="567"/>
        </w:trPr>
        <w:tc>
          <w:tcPr>
            <w:tcW w:w="10800" w:type="dxa"/>
            <w:tcBorders>
              <w:top w:val="single" w:sz="4" w:space="0" w:color="auto"/>
            </w:tcBorders>
            <w:vAlign w:val="center"/>
          </w:tcPr>
          <w:p w:rsidR="00E3659E" w:rsidRPr="00146D8F" w:rsidRDefault="00E8011F" w:rsidP="00BF14F8">
            <w:pPr>
              <w:widowControl w:val="0"/>
              <w:suppressAutoHyphens/>
              <w:spacing w:line="240" w:lineRule="exact"/>
              <w:ind w:right="1019"/>
              <w:rPr>
                <w:rFonts w:eastAsia="Times New Roman"/>
                <w:b/>
                <w:spacing w:val="4"/>
                <w:w w:val="103"/>
                <w:kern w:val="14"/>
                <w:highlight w:val="yellow"/>
                <w:lang w:val="en-GB" w:eastAsia="en-US"/>
              </w:rPr>
            </w:pPr>
            <w:r w:rsidRPr="00BB48BF">
              <w:rPr>
                <w:rFonts w:eastAsia="Times New Roman"/>
                <w:b/>
                <w:spacing w:val="4"/>
                <w:w w:val="103"/>
                <w:kern w:val="14"/>
                <w:sz w:val="28"/>
                <w:szCs w:val="28"/>
                <w:lang w:val="en-GB" w:eastAsia="en-US"/>
              </w:rPr>
              <w:t xml:space="preserve">Understanding the </w:t>
            </w:r>
            <w:proofErr w:type="spellStart"/>
            <w:r w:rsidRPr="00BB48BF">
              <w:rPr>
                <w:rFonts w:eastAsia="Times New Roman"/>
                <w:b/>
                <w:spacing w:val="4"/>
                <w:w w:val="103"/>
                <w:kern w:val="14"/>
                <w:sz w:val="28"/>
                <w:szCs w:val="28"/>
                <w:lang w:val="en-GB" w:eastAsia="en-US"/>
              </w:rPr>
              <w:t>modi</w:t>
            </w:r>
            <w:proofErr w:type="spellEnd"/>
            <w:r w:rsidRPr="00BB48BF">
              <w:rPr>
                <w:rFonts w:eastAsia="Times New Roman"/>
                <w:b/>
                <w:spacing w:val="4"/>
                <w:w w:val="103"/>
                <w:kern w:val="14"/>
                <w:sz w:val="28"/>
                <w:szCs w:val="28"/>
                <w:lang w:val="en-GB" w:eastAsia="en-US"/>
              </w:rPr>
              <w:t xml:space="preserve"> operandi and activities of organized criminal groups involved in drug trafficking</w:t>
            </w:r>
          </w:p>
        </w:tc>
      </w:tr>
      <w:tr w:rsidR="00E3659E" w:rsidRPr="00146D8F" w:rsidTr="00E3659E">
        <w:trPr>
          <w:trHeight w:val="567"/>
        </w:trPr>
        <w:tc>
          <w:tcPr>
            <w:tcW w:w="10800" w:type="dxa"/>
            <w:vAlign w:val="center"/>
          </w:tcPr>
          <w:p w:rsidR="00E3659E" w:rsidRPr="00146D8F" w:rsidRDefault="00E3659E" w:rsidP="00E3659E">
            <w:pPr>
              <w:widowControl w:val="0"/>
              <w:suppressAutoHyphens/>
              <w:spacing w:line="240" w:lineRule="exact"/>
              <w:ind w:right="1019"/>
              <w:rPr>
                <w:rFonts w:eastAsia="Times New Roman"/>
                <w:b/>
                <w:spacing w:val="4"/>
                <w:w w:val="103"/>
                <w:kern w:val="14"/>
                <w:highlight w:val="yellow"/>
                <w:lang w:val="en-GB" w:eastAsia="en-US"/>
              </w:rPr>
            </w:pPr>
            <w:r w:rsidRPr="00E3659E">
              <w:rPr>
                <w:rFonts w:eastAsia="Times New Roman"/>
                <w:b/>
                <w:spacing w:val="4"/>
                <w:w w:val="103"/>
                <w:kern w:val="14"/>
                <w:lang w:val="en-GB" w:eastAsia="en-US"/>
              </w:rPr>
              <w:t xml:space="preserve">Recommendation </w:t>
            </w:r>
            <w:r w:rsidR="00E8011F">
              <w:rPr>
                <w:rFonts w:eastAsia="Times New Roman"/>
                <w:b/>
                <w:spacing w:val="4"/>
                <w:w w:val="103"/>
                <w:kern w:val="14"/>
                <w:lang w:val="en-GB" w:eastAsia="en-US"/>
              </w:rPr>
              <w:t>4</w:t>
            </w:r>
          </w:p>
        </w:tc>
      </w:tr>
    </w:tbl>
    <w:p w:rsidR="00E3659E" w:rsidRPr="00DB07F7" w:rsidRDefault="00E8011F" w:rsidP="00BF14F8">
      <w:pPr>
        <w:framePr w:w="10890" w:h="957" w:hSpace="180" w:wrap="around" w:vAnchor="text" w:hAnchor="page" w:x="722" w:y="41"/>
        <w:pBdr>
          <w:top w:val="single" w:sz="6" w:space="1" w:color="auto"/>
          <w:left w:val="single" w:sz="6" w:space="1" w:color="auto"/>
          <w:bottom w:val="single" w:sz="6" w:space="1" w:color="auto"/>
          <w:right w:val="single" w:sz="6" w:space="1" w:color="auto"/>
        </w:pBdr>
        <w:jc w:val="both"/>
        <w:rPr>
          <w:lang w:val="en-GB"/>
        </w:rPr>
      </w:pPr>
      <w:r w:rsidRPr="00942993">
        <w:t>Governments should develop and further strengthen capacities of their competent authorities to intercept, investigate and prosecute significant multinational illicit drug trafficking cases to enable the disruption of illicit drug trafficking channels and the dismantling of criminal groups involved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C54D5" w:rsidTr="00E3659E">
        <w:tc>
          <w:tcPr>
            <w:tcW w:w="10800"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E3659E">
        <w:tc>
          <w:tcPr>
            <w:tcW w:w="10800"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E3659E">
        <w:tc>
          <w:tcPr>
            <w:tcW w:w="10800"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12D74" w:rsidRDefault="00112D74">
      <w:pPr>
        <w:rPr>
          <w:rFonts w:eastAsia="Times New Roman"/>
          <w:spacing w:val="4"/>
          <w:w w:val="103"/>
          <w:kern w:val="14"/>
          <w:lang w:val="en-GB" w:eastAsia="en-US"/>
        </w:rPr>
      </w:pPr>
    </w:p>
    <w:p w:rsidR="00112D74" w:rsidRDefault="00112D74">
      <w:pPr>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5</w:t>
      </w:r>
    </w:p>
    <w:p w:rsidR="00112D74" w:rsidRDefault="00112D74">
      <w:pPr>
        <w:rPr>
          <w:rFonts w:eastAsia="Times New Roman"/>
          <w:b/>
          <w:spacing w:val="4"/>
          <w:w w:val="103"/>
          <w:kern w:val="14"/>
          <w:lang w:val="en-GB" w:eastAsia="en-US"/>
        </w:rPr>
      </w:pPr>
    </w:p>
    <w:p w:rsidR="00112D74" w:rsidRPr="00DB07F7" w:rsidRDefault="00112D74" w:rsidP="00112D74">
      <w:pPr>
        <w:framePr w:w="10890" w:h="1028" w:hSpace="180" w:wrap="around" w:vAnchor="text" w:hAnchor="page" w:x="674" w:y="4"/>
        <w:pBdr>
          <w:top w:val="single" w:sz="6" w:space="1" w:color="auto"/>
          <w:left w:val="single" w:sz="6" w:space="1" w:color="auto"/>
          <w:bottom w:val="single" w:sz="6" w:space="1" w:color="auto"/>
          <w:right w:val="single" w:sz="6" w:space="1" w:color="auto"/>
        </w:pBdr>
        <w:jc w:val="both"/>
        <w:rPr>
          <w:lang w:val="en-GB"/>
        </w:rPr>
      </w:pPr>
      <w:r w:rsidRPr="00942993">
        <w:t xml:space="preserve">Governments should encourage their law enforcement agencies to use special investigative techniques, including controlled deliveries, infiltration and other undercover operations to identify major illicit drug trafficking groups and drug supply chains, as well as related financial flows, and consequently to undertake needed </w:t>
      </w:r>
      <w:proofErr w:type="gramStart"/>
      <w:r w:rsidRPr="00942993">
        <w:t>countermeasures</w:t>
      </w:r>
      <w:r>
        <w:t>.</w:t>
      </w:r>
      <w:r w:rsidRPr="006358B4">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12D74" w:rsidTr="003132C9">
        <w:tc>
          <w:tcPr>
            <w:tcW w:w="11016" w:type="dxa"/>
          </w:tcPr>
          <w:p w:rsidR="00112D74" w:rsidRDefault="00112D74" w:rsidP="003132C9">
            <w:pPr>
              <w:widowControl w:val="0"/>
              <w:suppressAutoHyphens/>
              <w:spacing w:line="240" w:lineRule="exact"/>
              <w:ind w:right="1019"/>
              <w:jc w:val="both"/>
              <w:rPr>
                <w:rFonts w:eastAsia="Times New Roman"/>
                <w:spacing w:val="4"/>
                <w:w w:val="103"/>
                <w:kern w:val="14"/>
                <w:lang w:val="en-GB" w:eastAsia="en-US"/>
              </w:rPr>
            </w:pPr>
          </w:p>
          <w:p w:rsidR="00112D74" w:rsidRDefault="00112D74" w:rsidP="003132C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12D74" w:rsidTr="003132C9">
        <w:tc>
          <w:tcPr>
            <w:tcW w:w="11016" w:type="dxa"/>
          </w:tcPr>
          <w:p w:rsidR="00112D74" w:rsidRDefault="00112D74" w:rsidP="003132C9">
            <w:pPr>
              <w:widowControl w:val="0"/>
              <w:suppressAutoHyphens/>
              <w:spacing w:line="240" w:lineRule="exact"/>
              <w:ind w:right="1019"/>
              <w:jc w:val="both"/>
              <w:rPr>
                <w:rFonts w:eastAsia="Times New Roman"/>
                <w:spacing w:val="4"/>
                <w:w w:val="103"/>
                <w:kern w:val="14"/>
                <w:lang w:val="en-GB" w:eastAsia="en-US"/>
              </w:rPr>
            </w:pPr>
          </w:p>
        </w:tc>
      </w:tr>
      <w:tr w:rsidR="00112D74" w:rsidTr="003132C9">
        <w:tc>
          <w:tcPr>
            <w:tcW w:w="11016" w:type="dxa"/>
          </w:tcPr>
          <w:p w:rsidR="00112D74" w:rsidRDefault="00112D74" w:rsidP="003132C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12D74" w:rsidRDefault="00112D74" w:rsidP="00112D74">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5E6D" w:rsidRDefault="007E5E6D" w:rsidP="0057159B">
      <w:pPr>
        <w:rPr>
          <w:rFonts w:eastAsia="Times New Roman"/>
          <w:spacing w:val="4"/>
          <w:w w:val="103"/>
          <w:kern w:val="14"/>
          <w:lang w:val="en-GB" w:eastAsia="en-US"/>
        </w:rPr>
      </w:pPr>
    </w:p>
    <w:p w:rsidR="0087235F" w:rsidRDefault="0087235F" w:rsidP="001C54D5">
      <w:pPr>
        <w:widowControl w:val="0"/>
        <w:suppressAutoHyphens/>
        <w:spacing w:line="240" w:lineRule="exact"/>
        <w:ind w:right="1019"/>
        <w:jc w:val="both"/>
        <w:rPr>
          <w:rFonts w:eastAsia="Times New Roman"/>
          <w:spacing w:val="4"/>
          <w:w w:val="103"/>
          <w:kern w:val="14"/>
          <w:lang w:val="en-GB" w:eastAsia="en-US"/>
        </w:rPr>
      </w:pPr>
    </w:p>
    <w:p w:rsidR="007E5E6D" w:rsidRDefault="007E5E6D"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BF14F8">
        <w:trPr>
          <w:trHeight w:val="567"/>
        </w:trPr>
        <w:tc>
          <w:tcPr>
            <w:tcW w:w="10800" w:type="dxa"/>
            <w:vAlign w:val="center"/>
          </w:tcPr>
          <w:p w:rsidR="00955E9A" w:rsidRPr="00F36455" w:rsidRDefault="00955E9A" w:rsidP="00BD1AB1">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E8011F">
              <w:rPr>
                <w:rFonts w:eastAsia="Times New Roman"/>
                <w:b/>
                <w:spacing w:val="4"/>
                <w:w w:val="103"/>
                <w:kern w:val="14"/>
                <w:lang w:val="en-GB" w:eastAsia="en-US"/>
              </w:rPr>
              <w:t>6</w:t>
            </w:r>
          </w:p>
        </w:tc>
      </w:tr>
    </w:tbl>
    <w:p w:rsidR="00955E9A" w:rsidRPr="00DB07F7" w:rsidRDefault="00E8011F" w:rsidP="00BF14F8">
      <w:pPr>
        <w:framePr w:w="10890" w:h="990" w:hSpace="180" w:wrap="around" w:vAnchor="text" w:hAnchor="page" w:x="674" w:y="4"/>
        <w:pBdr>
          <w:top w:val="single" w:sz="6" w:space="1" w:color="auto"/>
          <w:left w:val="single" w:sz="6" w:space="1" w:color="auto"/>
          <w:bottom w:val="single" w:sz="6" w:space="1" w:color="auto"/>
          <w:right w:val="single" w:sz="6" w:space="1" w:color="auto"/>
        </w:pBdr>
        <w:jc w:val="both"/>
        <w:rPr>
          <w:lang w:val="en-GB"/>
        </w:rPr>
      </w:pPr>
      <w:r w:rsidRPr="00942993">
        <w:t xml:space="preserve">Governments should ensure the regular exchange of information with counterparts on </w:t>
      </w:r>
      <w:proofErr w:type="spellStart"/>
      <w:r w:rsidRPr="00942993">
        <w:t>modi</w:t>
      </w:r>
      <w:proofErr w:type="spellEnd"/>
      <w:r w:rsidRPr="00942993">
        <w:t xml:space="preserve"> operandi, concealment methods, trafficking routes, criminal groups and their members, as well as best practices and effective countermeasures in tackling illicit drug trafficking.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57159B" w:rsidRDefault="0057159B"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lastRenderedPageBreak/>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lastRenderedPageBreak/>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4E273C" w:rsidRDefault="004E273C" w:rsidP="004E273C">
      <w:pPr>
        <w:rPr>
          <w:b/>
          <w:lang w:val="en-GB"/>
        </w:rPr>
      </w:pPr>
    </w:p>
    <w:p w:rsidR="00E3659E" w:rsidRDefault="00E3659E" w:rsidP="004E273C">
      <w:pPr>
        <w:rPr>
          <w:b/>
          <w:lang w:val="en-GB"/>
        </w:rPr>
      </w:pPr>
      <w:bookmarkStart w:id="17" w:name="_Hlk515890613"/>
    </w:p>
    <w:p w:rsidR="0057159B" w:rsidRDefault="0057159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7159B" w:rsidTr="003132C9">
        <w:trPr>
          <w:trHeight w:val="567"/>
        </w:trPr>
        <w:tc>
          <w:tcPr>
            <w:tcW w:w="10800" w:type="dxa"/>
            <w:tcBorders>
              <w:bottom w:val="single" w:sz="4" w:space="0" w:color="auto"/>
            </w:tcBorders>
            <w:vAlign w:val="center"/>
          </w:tcPr>
          <w:p w:rsidR="0057159B" w:rsidRPr="00DB07F7" w:rsidRDefault="0057159B" w:rsidP="003132C9">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t xml:space="preserve">Issue </w:t>
            </w:r>
            <w:r>
              <w:rPr>
                <w:rFonts w:eastAsia="Times New Roman"/>
                <w:b/>
                <w:spacing w:val="4"/>
                <w:w w:val="103"/>
                <w:kern w:val="14"/>
                <w:sz w:val="28"/>
                <w:szCs w:val="28"/>
                <w:lang w:val="en-GB" w:eastAsia="en-US"/>
              </w:rPr>
              <w:t>II</w:t>
            </w:r>
            <w:r w:rsidRPr="00DB07F7">
              <w:rPr>
                <w:rFonts w:eastAsia="Times New Roman"/>
                <w:b/>
                <w:spacing w:val="4"/>
                <w:w w:val="103"/>
                <w:kern w:val="14"/>
                <w:sz w:val="28"/>
                <w:szCs w:val="28"/>
                <w:lang w:val="en-GB" w:eastAsia="en-US"/>
              </w:rPr>
              <w:t>I</w:t>
            </w:r>
          </w:p>
        </w:tc>
      </w:tr>
      <w:tr w:rsidR="0057159B" w:rsidTr="003132C9">
        <w:trPr>
          <w:trHeight w:val="567"/>
        </w:trPr>
        <w:tc>
          <w:tcPr>
            <w:tcW w:w="10800" w:type="dxa"/>
            <w:tcBorders>
              <w:top w:val="single" w:sz="4" w:space="0" w:color="auto"/>
              <w:bottom w:val="single" w:sz="4" w:space="0" w:color="auto"/>
            </w:tcBorders>
            <w:vAlign w:val="center"/>
          </w:tcPr>
          <w:p w:rsidR="0057159B" w:rsidRPr="003D6707" w:rsidRDefault="0057159B" w:rsidP="003132C9">
            <w:pPr>
              <w:widowControl w:val="0"/>
              <w:suppressAutoHyphens/>
              <w:spacing w:line="240" w:lineRule="exact"/>
              <w:ind w:right="1019"/>
              <w:rPr>
                <w:rFonts w:eastAsia="Times New Roman"/>
                <w:b/>
                <w:spacing w:val="4"/>
                <w:w w:val="103"/>
                <w:kern w:val="14"/>
                <w:sz w:val="28"/>
                <w:szCs w:val="28"/>
                <w:lang w:val="en-GB" w:eastAsia="en-US"/>
              </w:rPr>
            </w:pPr>
            <w:r w:rsidRPr="00BB48BF">
              <w:rPr>
                <w:rFonts w:eastAsia="Times New Roman"/>
                <w:b/>
                <w:spacing w:val="4"/>
                <w:w w:val="103"/>
                <w:kern w:val="14"/>
                <w:sz w:val="28"/>
                <w:szCs w:val="28"/>
                <w:lang w:val="en-GB" w:eastAsia="en-US"/>
              </w:rPr>
              <w:t>Improving the capacity of countries to detect emerging drug threats through early warning</w:t>
            </w:r>
          </w:p>
        </w:tc>
      </w:tr>
      <w:tr w:rsidR="0057159B" w:rsidTr="003132C9">
        <w:trPr>
          <w:trHeight w:val="567"/>
        </w:trPr>
        <w:tc>
          <w:tcPr>
            <w:tcW w:w="10800" w:type="dxa"/>
            <w:tcBorders>
              <w:top w:val="single" w:sz="4" w:space="0" w:color="auto"/>
              <w:bottom w:val="single" w:sz="4" w:space="0" w:color="auto"/>
            </w:tcBorders>
            <w:vAlign w:val="center"/>
          </w:tcPr>
          <w:p w:rsidR="0057159B" w:rsidRDefault="0057159B" w:rsidP="003132C9">
            <w:pPr>
              <w:widowControl w:val="0"/>
              <w:suppressAutoHyphens/>
              <w:spacing w:line="240" w:lineRule="exact"/>
              <w:ind w:right="1019"/>
              <w:rPr>
                <w:rFonts w:eastAsia="Times New Roman"/>
                <w:b/>
                <w:spacing w:val="4"/>
                <w:w w:val="103"/>
                <w:kern w:val="14"/>
                <w:lang w:val="en-GB" w:eastAsia="en-US"/>
              </w:rPr>
            </w:pPr>
          </w:p>
          <w:p w:rsidR="0057159B" w:rsidRDefault="0057159B" w:rsidP="003132C9">
            <w:pPr>
              <w:widowControl w:val="0"/>
              <w:suppressAutoHyphens/>
              <w:spacing w:line="240" w:lineRule="exact"/>
              <w:ind w:right="1019"/>
              <w:rPr>
                <w:rFonts w:eastAsia="Times New Roman"/>
                <w:b/>
                <w:spacing w:val="4"/>
                <w:w w:val="103"/>
                <w:kern w:val="14"/>
                <w:lang w:val="en-GB" w:eastAsia="en-US"/>
              </w:rPr>
            </w:pPr>
            <w:r w:rsidRPr="00E3659E">
              <w:rPr>
                <w:rFonts w:eastAsia="Times New Roman"/>
                <w:b/>
                <w:spacing w:val="4"/>
                <w:w w:val="103"/>
                <w:kern w:val="14"/>
                <w:lang w:val="en-GB" w:eastAsia="en-US"/>
              </w:rPr>
              <w:t xml:space="preserve">Recommendation </w:t>
            </w:r>
            <w:r>
              <w:rPr>
                <w:rFonts w:eastAsia="Times New Roman"/>
                <w:b/>
                <w:spacing w:val="4"/>
                <w:w w:val="103"/>
                <w:kern w:val="14"/>
                <w:lang w:val="en-GB" w:eastAsia="en-US"/>
              </w:rPr>
              <w:t>7</w:t>
            </w:r>
          </w:p>
          <w:p w:rsidR="0057159B" w:rsidRPr="00E3659E" w:rsidRDefault="0057159B" w:rsidP="003132C9">
            <w:pPr>
              <w:widowControl w:val="0"/>
              <w:suppressAutoHyphens/>
              <w:spacing w:line="240" w:lineRule="exact"/>
              <w:ind w:right="1019"/>
              <w:rPr>
                <w:rFonts w:eastAsia="Times New Roman"/>
                <w:b/>
                <w:spacing w:val="4"/>
                <w:w w:val="103"/>
                <w:kern w:val="14"/>
                <w:lang w:val="en-GB" w:eastAsia="en-US"/>
              </w:rPr>
            </w:pPr>
          </w:p>
        </w:tc>
      </w:tr>
    </w:tbl>
    <w:p w:rsidR="0057159B" w:rsidRPr="00DB07F7" w:rsidRDefault="0057159B" w:rsidP="00834C98">
      <w:pPr>
        <w:framePr w:w="10892" w:h="851" w:hSpace="181" w:wrap="around" w:vAnchor="text" w:hAnchor="page" w:x="761" w:y="114"/>
        <w:pBdr>
          <w:top w:val="single" w:sz="6" w:space="1" w:color="auto"/>
          <w:left w:val="single" w:sz="6" w:space="1" w:color="auto"/>
          <w:bottom w:val="single" w:sz="6" w:space="1" w:color="auto"/>
          <w:right w:val="single" w:sz="6" w:space="1" w:color="auto"/>
        </w:pBdr>
        <w:jc w:val="both"/>
        <w:rPr>
          <w:lang w:val="en-GB"/>
        </w:rPr>
      </w:pPr>
      <w:r w:rsidRPr="00942993">
        <w:t>Governments should continue to encourage the development of their early warning systems on new emerging drugs and new psychoactive substances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7159B" w:rsidTr="003132C9">
        <w:tc>
          <w:tcPr>
            <w:tcW w:w="10800"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p>
          <w:p w:rsidR="0057159B" w:rsidRDefault="0057159B" w:rsidP="003132C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57159B" w:rsidTr="003132C9">
        <w:tc>
          <w:tcPr>
            <w:tcW w:w="10800"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p>
        </w:tc>
      </w:tr>
      <w:tr w:rsidR="0057159B" w:rsidTr="003132C9">
        <w:tc>
          <w:tcPr>
            <w:tcW w:w="10800"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57159B" w:rsidRDefault="0057159B" w:rsidP="0057159B">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159B" w:rsidRDefault="0057159B" w:rsidP="0057159B">
      <w:pPr>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7159B" w:rsidTr="003132C9">
        <w:trPr>
          <w:trHeight w:val="567"/>
        </w:trPr>
        <w:tc>
          <w:tcPr>
            <w:tcW w:w="10800" w:type="dxa"/>
            <w:vAlign w:val="center"/>
          </w:tcPr>
          <w:p w:rsidR="0057159B" w:rsidRPr="00F36455" w:rsidRDefault="0057159B" w:rsidP="003132C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8</w:t>
            </w:r>
          </w:p>
        </w:tc>
      </w:tr>
    </w:tbl>
    <w:p w:rsidR="0057159B" w:rsidRPr="00DB07F7" w:rsidRDefault="0057159B" w:rsidP="00834C98">
      <w:pPr>
        <w:framePr w:w="10892" w:h="851" w:hSpace="181" w:wrap="around" w:vAnchor="text" w:hAnchor="page" w:x="676" w:y="1"/>
        <w:pBdr>
          <w:top w:val="single" w:sz="6" w:space="1" w:color="auto"/>
          <w:left w:val="single" w:sz="6" w:space="1" w:color="auto"/>
          <w:bottom w:val="single" w:sz="6" w:space="1" w:color="auto"/>
          <w:right w:val="single" w:sz="6" w:space="1" w:color="auto"/>
        </w:pBdr>
        <w:jc w:val="both"/>
        <w:rPr>
          <w:lang w:val="en-GB"/>
        </w:rPr>
      </w:pPr>
      <w:r w:rsidRPr="00942993">
        <w:t>Governments should continue to invest in training their forensic technical staff in the detection of synthetic drugs and new psychoactive substances</w:t>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7159B" w:rsidTr="003132C9">
        <w:tc>
          <w:tcPr>
            <w:tcW w:w="11016"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p>
          <w:p w:rsidR="0057159B" w:rsidRDefault="0057159B" w:rsidP="003132C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57159B" w:rsidTr="003132C9">
        <w:tc>
          <w:tcPr>
            <w:tcW w:w="11016"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p>
        </w:tc>
      </w:tr>
      <w:tr w:rsidR="0057159B" w:rsidTr="003132C9">
        <w:tc>
          <w:tcPr>
            <w:tcW w:w="11016"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57159B" w:rsidRDefault="0057159B" w:rsidP="0057159B">
      <w:pPr>
        <w:framePr w:w="10890" w:h="1348" w:hSpace="180" w:wrap="around" w:vAnchor="text" w:hAnchor="page" w:x="674" w:y="8"/>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159B" w:rsidRDefault="0057159B" w:rsidP="0057159B">
      <w:pPr>
        <w:rPr>
          <w:b/>
          <w:lang w:val="en-GB"/>
        </w:rPr>
      </w:pPr>
    </w:p>
    <w:p w:rsidR="0057159B" w:rsidRPr="00BD0DE6" w:rsidRDefault="0057159B" w:rsidP="0057159B">
      <w:pPr>
        <w:rPr>
          <w:b/>
          <w:lang w:val="en-GB"/>
        </w:rPr>
      </w:pPr>
    </w:p>
    <w:p w:rsidR="0057159B" w:rsidRDefault="0057159B" w:rsidP="005715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7159B" w:rsidTr="003132C9">
        <w:trPr>
          <w:trHeight w:val="567"/>
        </w:trPr>
        <w:tc>
          <w:tcPr>
            <w:tcW w:w="10800" w:type="dxa"/>
            <w:vAlign w:val="center"/>
          </w:tcPr>
          <w:p w:rsidR="0057159B" w:rsidRPr="00F36455" w:rsidRDefault="0057159B" w:rsidP="003132C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lastRenderedPageBreak/>
              <w:t xml:space="preserve">Recommendation </w:t>
            </w:r>
            <w:r>
              <w:rPr>
                <w:rFonts w:eastAsia="Times New Roman"/>
                <w:b/>
                <w:spacing w:val="4"/>
                <w:w w:val="103"/>
                <w:kern w:val="14"/>
                <w:lang w:val="en-GB" w:eastAsia="en-US"/>
              </w:rPr>
              <w:t>9</w:t>
            </w:r>
          </w:p>
        </w:tc>
      </w:tr>
    </w:tbl>
    <w:p w:rsidR="0057159B" w:rsidRPr="00DB07F7" w:rsidRDefault="0057159B" w:rsidP="00834C98">
      <w:pPr>
        <w:framePr w:w="10892" w:h="851" w:hSpace="181" w:wrap="around" w:vAnchor="text" w:hAnchor="page" w:x="676" w:y="12"/>
        <w:pBdr>
          <w:top w:val="single" w:sz="6" w:space="1" w:color="auto"/>
          <w:left w:val="single" w:sz="6" w:space="1" w:color="auto"/>
          <w:bottom w:val="single" w:sz="6" w:space="1" w:color="auto"/>
          <w:right w:val="single" w:sz="6" w:space="1" w:color="auto"/>
        </w:pBdr>
        <w:jc w:val="both"/>
        <w:rPr>
          <w:lang w:val="en-GB"/>
        </w:rPr>
      </w:pPr>
      <w:r w:rsidRPr="00942993">
        <w:t>Governments must strengthen the capacities of national forensic laboratories for the detection of newly emerging drugs and new psychoactive substances, by modernizing their equipment and analytical capabilities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7159B" w:rsidTr="003132C9">
        <w:tc>
          <w:tcPr>
            <w:tcW w:w="11016"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p>
          <w:p w:rsidR="0057159B" w:rsidRDefault="0057159B" w:rsidP="003132C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57159B" w:rsidTr="003132C9">
        <w:tc>
          <w:tcPr>
            <w:tcW w:w="11016"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p>
        </w:tc>
      </w:tr>
      <w:tr w:rsidR="0057159B" w:rsidTr="003132C9">
        <w:tc>
          <w:tcPr>
            <w:tcW w:w="11016"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57159B" w:rsidRDefault="0057159B" w:rsidP="0057159B">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159B" w:rsidRDefault="0057159B" w:rsidP="0057159B"/>
    <w:p w:rsidR="0057159B" w:rsidRDefault="0057159B" w:rsidP="0057159B">
      <w:pPr>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7159B" w:rsidTr="003132C9">
        <w:trPr>
          <w:trHeight w:val="567"/>
        </w:trPr>
        <w:tc>
          <w:tcPr>
            <w:tcW w:w="10800" w:type="dxa"/>
            <w:vAlign w:val="center"/>
          </w:tcPr>
          <w:p w:rsidR="0057159B" w:rsidRPr="00F36455" w:rsidRDefault="0057159B" w:rsidP="003132C9">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10</w:t>
            </w:r>
          </w:p>
        </w:tc>
      </w:tr>
    </w:tbl>
    <w:p w:rsidR="0057159B" w:rsidRPr="00DB07F7" w:rsidRDefault="0057159B" w:rsidP="00635FCD">
      <w:pPr>
        <w:framePr w:w="10892" w:h="1247" w:hSpace="181" w:wrap="around" w:vAnchor="text" w:hAnchor="page" w:x="676" w:y="7"/>
        <w:pBdr>
          <w:top w:val="single" w:sz="6" w:space="1" w:color="auto"/>
          <w:left w:val="single" w:sz="6" w:space="1" w:color="auto"/>
          <w:bottom w:val="single" w:sz="6" w:space="1" w:color="auto"/>
          <w:right w:val="single" w:sz="6" w:space="1" w:color="auto"/>
        </w:pBdr>
        <w:jc w:val="both"/>
        <w:rPr>
          <w:lang w:val="en-GB"/>
        </w:rPr>
      </w:pPr>
      <w:r w:rsidRPr="00942993">
        <w:t xml:space="preserve">Governments should continue to stimulate inter-agency and information-sharing work on emerging drugs and new psychoactive substances, both nationally and internationally. They should also strengthen training in their law enforcement agencies on the recognition and detection of synthetic drugs and new psychoactive </w:t>
      </w:r>
      <w:proofErr w:type="gramStart"/>
      <w:r w:rsidRPr="00942993">
        <w:t>substances, and</w:t>
      </w:r>
      <w:proofErr w:type="gramEnd"/>
      <w:r w:rsidRPr="00942993">
        <w:t xml:space="preserve"> provide them with detection and protection equipment for the management of synthetic drugs.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7159B" w:rsidTr="003132C9">
        <w:tc>
          <w:tcPr>
            <w:tcW w:w="11016"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p>
          <w:p w:rsidR="0057159B" w:rsidRDefault="0057159B" w:rsidP="003132C9">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57159B" w:rsidTr="003132C9">
        <w:tc>
          <w:tcPr>
            <w:tcW w:w="11016"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p>
        </w:tc>
      </w:tr>
      <w:tr w:rsidR="0057159B" w:rsidTr="003132C9">
        <w:tc>
          <w:tcPr>
            <w:tcW w:w="11016" w:type="dxa"/>
          </w:tcPr>
          <w:p w:rsidR="0057159B" w:rsidRDefault="0057159B" w:rsidP="003132C9">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57159B" w:rsidRDefault="0057159B" w:rsidP="0057159B">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0E37" w:rsidRPr="0057159B" w:rsidRDefault="0057159B" w:rsidP="0057159B">
      <w:pPr>
        <w:rPr>
          <w:rFonts w:eastAsia="Times New Roman"/>
          <w:spacing w:val="4"/>
          <w:w w:val="103"/>
          <w:kern w:val="14"/>
          <w:lang w:val="en-GB" w:eastAsia="en-US"/>
        </w:rPr>
      </w:pPr>
      <w:r>
        <w:rPr>
          <w:rFonts w:eastAsia="Times New Roman"/>
          <w:spacing w:val="4"/>
          <w:w w:val="103"/>
          <w:kern w:val="14"/>
          <w:lang w:val="en-GB" w:eastAsia="en-US"/>
        </w:rPr>
        <w:br w:type="page"/>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58B4" w:rsidRPr="006358B4" w:rsidTr="006C0E37">
        <w:trPr>
          <w:trHeight w:val="567"/>
        </w:trPr>
        <w:tc>
          <w:tcPr>
            <w:tcW w:w="10800" w:type="dxa"/>
            <w:tcBorders>
              <w:bottom w:val="single" w:sz="4" w:space="0" w:color="auto"/>
            </w:tcBorders>
            <w:vAlign w:val="center"/>
          </w:tcPr>
          <w:p w:rsidR="006358B4" w:rsidRPr="00C30615" w:rsidRDefault="006358B4" w:rsidP="00C30615">
            <w:pPr>
              <w:rPr>
                <w:b/>
                <w:sz w:val="28"/>
                <w:szCs w:val="28"/>
                <w:lang w:val="en-GB"/>
              </w:rPr>
            </w:pPr>
            <w:r w:rsidRPr="00C30615">
              <w:rPr>
                <w:b/>
                <w:sz w:val="28"/>
                <w:szCs w:val="28"/>
                <w:lang w:val="en-GB"/>
              </w:rPr>
              <w:lastRenderedPageBreak/>
              <w:t>Issue I</w:t>
            </w:r>
            <w:r w:rsidR="00C30615" w:rsidRPr="00C30615">
              <w:rPr>
                <w:b/>
                <w:sz w:val="28"/>
                <w:szCs w:val="28"/>
                <w:lang w:val="en-GB"/>
              </w:rPr>
              <w:t>V</w:t>
            </w:r>
          </w:p>
        </w:tc>
      </w:tr>
      <w:tr w:rsidR="006358B4" w:rsidRPr="006358B4" w:rsidTr="006C0E37">
        <w:trPr>
          <w:trHeight w:val="567"/>
        </w:trPr>
        <w:tc>
          <w:tcPr>
            <w:tcW w:w="10800" w:type="dxa"/>
            <w:tcBorders>
              <w:top w:val="single" w:sz="4" w:space="0" w:color="auto"/>
            </w:tcBorders>
            <w:vAlign w:val="center"/>
          </w:tcPr>
          <w:p w:rsidR="006358B4" w:rsidRPr="00C30615" w:rsidRDefault="00966A08" w:rsidP="00BF14F8">
            <w:pPr>
              <w:rPr>
                <w:b/>
                <w:sz w:val="28"/>
                <w:szCs w:val="28"/>
                <w:lang w:val="en-GB"/>
              </w:rPr>
            </w:pPr>
            <w:r w:rsidRPr="00BB48BF">
              <w:rPr>
                <w:b/>
                <w:sz w:val="28"/>
                <w:szCs w:val="28"/>
                <w:lang w:val="en-GB"/>
              </w:rPr>
              <w:t>Expanding the scope of national illicit crop monitoring systems: experiences and opportunities</w:t>
            </w:r>
          </w:p>
        </w:tc>
      </w:tr>
      <w:tr w:rsidR="004002FA" w:rsidTr="006C0E37">
        <w:trPr>
          <w:trHeight w:val="567"/>
        </w:trPr>
        <w:tc>
          <w:tcPr>
            <w:tcW w:w="10800" w:type="dxa"/>
            <w:vAlign w:val="center"/>
          </w:tcPr>
          <w:p w:rsidR="004002FA" w:rsidRPr="00F36455" w:rsidRDefault="004002FA" w:rsidP="00BD1AB1">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Pr>
                <w:rFonts w:eastAsia="Times New Roman"/>
                <w:b/>
                <w:spacing w:val="4"/>
                <w:w w:val="103"/>
                <w:kern w:val="14"/>
                <w:lang w:val="en-GB" w:eastAsia="en-US"/>
              </w:rPr>
              <w:t>1</w:t>
            </w:r>
            <w:r w:rsidR="00966A08">
              <w:rPr>
                <w:rFonts w:eastAsia="Times New Roman"/>
                <w:b/>
                <w:spacing w:val="4"/>
                <w:w w:val="103"/>
                <w:kern w:val="14"/>
                <w:lang w:val="en-GB" w:eastAsia="en-US"/>
              </w:rPr>
              <w:t>1</w:t>
            </w:r>
          </w:p>
        </w:tc>
      </w:tr>
    </w:tbl>
    <w:p w:rsidR="004002FA" w:rsidRPr="00DB07F7" w:rsidRDefault="00966A08" w:rsidP="00635FCD">
      <w:pPr>
        <w:framePr w:w="10892" w:h="1077" w:hSpace="181" w:wrap="around" w:vAnchor="text" w:hAnchor="page" w:x="676" w:y="7"/>
        <w:pBdr>
          <w:top w:val="single" w:sz="6" w:space="1" w:color="auto"/>
          <w:left w:val="single" w:sz="6" w:space="1" w:color="auto"/>
          <w:bottom w:val="single" w:sz="6" w:space="1" w:color="auto"/>
          <w:right w:val="single" w:sz="6" w:space="1" w:color="auto"/>
        </w:pBdr>
        <w:jc w:val="both"/>
        <w:rPr>
          <w:lang w:val="en-GB"/>
        </w:rPr>
      </w:pPr>
      <w:r w:rsidRPr="00942993">
        <w:t>Governments should establish comprehensive national monitoring systems that are based on scientific evidence. This requires coordination and joint analysis of national agencies at the technical level, as well as coordination at the highest political level to ensure that the resulting analysis feeds into programming and policymaking</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002FA" w:rsidTr="00854DF0">
        <w:tc>
          <w:tcPr>
            <w:tcW w:w="11016" w:type="dxa"/>
          </w:tcPr>
          <w:p w:rsidR="004002FA" w:rsidRDefault="004002FA" w:rsidP="00854DF0">
            <w:pPr>
              <w:widowControl w:val="0"/>
              <w:suppressAutoHyphens/>
              <w:spacing w:line="240" w:lineRule="exact"/>
              <w:ind w:right="1019"/>
              <w:jc w:val="both"/>
              <w:rPr>
                <w:rFonts w:eastAsia="Times New Roman"/>
                <w:spacing w:val="4"/>
                <w:w w:val="103"/>
                <w:kern w:val="14"/>
                <w:lang w:val="en-GB" w:eastAsia="en-US"/>
              </w:rPr>
            </w:pPr>
          </w:p>
          <w:p w:rsidR="004002FA" w:rsidRDefault="004002FA" w:rsidP="00854DF0">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4002FA" w:rsidTr="00854DF0">
        <w:tc>
          <w:tcPr>
            <w:tcW w:w="11016" w:type="dxa"/>
          </w:tcPr>
          <w:p w:rsidR="004002FA" w:rsidRDefault="004002FA" w:rsidP="00854DF0">
            <w:pPr>
              <w:widowControl w:val="0"/>
              <w:suppressAutoHyphens/>
              <w:spacing w:line="240" w:lineRule="exact"/>
              <w:ind w:right="1019"/>
              <w:jc w:val="both"/>
              <w:rPr>
                <w:rFonts w:eastAsia="Times New Roman"/>
                <w:spacing w:val="4"/>
                <w:w w:val="103"/>
                <w:kern w:val="14"/>
                <w:lang w:val="en-GB" w:eastAsia="en-US"/>
              </w:rPr>
            </w:pPr>
          </w:p>
        </w:tc>
      </w:tr>
      <w:tr w:rsidR="004002FA" w:rsidTr="00854DF0">
        <w:tc>
          <w:tcPr>
            <w:tcW w:w="11016" w:type="dxa"/>
          </w:tcPr>
          <w:p w:rsidR="004002FA" w:rsidRDefault="004002FA" w:rsidP="00854DF0">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4002FA" w:rsidRDefault="004002FA" w:rsidP="004002F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02FA" w:rsidRDefault="004002FA"/>
    <w:p w:rsidR="00505EA6" w:rsidRDefault="00505EA6"/>
    <w:p w:rsidR="006C0E37" w:rsidRDefault="006C0E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6C0E37">
        <w:trPr>
          <w:trHeight w:val="567"/>
        </w:trPr>
        <w:tc>
          <w:tcPr>
            <w:tcW w:w="10800" w:type="dxa"/>
            <w:vAlign w:val="center"/>
          </w:tcPr>
          <w:p w:rsidR="00955E9A" w:rsidRDefault="00955E9A" w:rsidP="00955E9A">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r w:rsidR="00966A08">
              <w:rPr>
                <w:rFonts w:eastAsia="Times New Roman"/>
                <w:b/>
                <w:spacing w:val="4"/>
                <w:w w:val="103"/>
                <w:kern w:val="14"/>
                <w:lang w:val="en-GB" w:eastAsia="en-US"/>
              </w:rPr>
              <w:t>2</w:t>
            </w:r>
          </w:p>
          <w:p w:rsidR="00F36455" w:rsidRPr="00F36455" w:rsidRDefault="00F36455" w:rsidP="00955E9A">
            <w:pPr>
              <w:widowControl w:val="0"/>
              <w:suppressAutoHyphens/>
              <w:spacing w:line="240" w:lineRule="exact"/>
              <w:ind w:right="1019"/>
              <w:rPr>
                <w:rFonts w:eastAsia="Times New Roman"/>
                <w:b/>
                <w:spacing w:val="4"/>
                <w:w w:val="103"/>
                <w:kern w:val="14"/>
                <w:lang w:val="en-GB" w:eastAsia="en-US"/>
              </w:rPr>
            </w:pPr>
          </w:p>
        </w:tc>
      </w:tr>
    </w:tbl>
    <w:p w:rsidR="00955E9A" w:rsidRDefault="00966A08" w:rsidP="00BF14F8">
      <w:pPr>
        <w:framePr w:w="10890" w:h="1028" w:hSpace="180" w:wrap="around" w:vAnchor="text" w:hAnchor="page" w:x="674" w:y="3"/>
        <w:pBdr>
          <w:top w:val="single" w:sz="6" w:space="1" w:color="auto"/>
          <w:left w:val="single" w:sz="6" w:space="1" w:color="auto"/>
          <w:bottom w:val="single" w:sz="6" w:space="1" w:color="auto"/>
          <w:right w:val="single" w:sz="6" w:space="1" w:color="auto"/>
        </w:pBdr>
      </w:pPr>
      <w:r w:rsidRPr="00942993">
        <w:t>Governments should make the best use of existing structures and mechanisms for regional and international cooperation, including for the exchange of experiences and expertise on national monitoring tools, including illicit crop monitoring</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Pr="00955E9A" w:rsidRDefault="00955E9A" w:rsidP="00955E9A">
            <w:pPr>
              <w:widowControl w:val="0"/>
              <w:suppressAutoHyphens/>
              <w:spacing w:line="240" w:lineRule="exact"/>
              <w:ind w:right="1019"/>
              <w:jc w:val="both"/>
              <w:rPr>
                <w:rFonts w:eastAsia="Times New Roman"/>
                <w:spacing w:val="4"/>
                <w:w w:val="103"/>
                <w:kern w:val="14"/>
                <w:lang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55E9A" w:rsidRDefault="00955E9A" w:rsidP="00C8710B">
      <w:pPr>
        <w:rPr>
          <w:b/>
          <w:lang w:val="en-GB"/>
        </w:rPr>
      </w:pPr>
    </w:p>
    <w:p w:rsidR="00BF14F8" w:rsidRDefault="00BF14F8">
      <w:pPr>
        <w:rPr>
          <w:b/>
          <w:lang w:val="en-GB"/>
        </w:rPr>
      </w:pPr>
      <w:r>
        <w:rPr>
          <w:b/>
          <w:lang w:val="en-GB"/>
        </w:rPr>
        <w:br w:type="page"/>
      </w:r>
    </w:p>
    <w:p w:rsidR="007A43E4" w:rsidRDefault="007A43E4"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BF14F8">
        <w:trPr>
          <w:trHeight w:val="567"/>
        </w:trPr>
        <w:tc>
          <w:tcPr>
            <w:tcW w:w="10800" w:type="dxa"/>
            <w:vAlign w:val="center"/>
          </w:tcPr>
          <w:p w:rsidR="00955E9A" w:rsidRPr="00F36455" w:rsidRDefault="00955E9A" w:rsidP="00BD1AB1">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r w:rsidR="00966A08">
              <w:rPr>
                <w:rFonts w:eastAsia="Times New Roman"/>
                <w:b/>
                <w:spacing w:val="4"/>
                <w:w w:val="103"/>
                <w:kern w:val="14"/>
                <w:lang w:val="en-GB" w:eastAsia="en-US"/>
              </w:rPr>
              <w:t>3</w:t>
            </w:r>
          </w:p>
        </w:tc>
      </w:tr>
    </w:tbl>
    <w:p w:rsidR="00955E9A" w:rsidRDefault="00966A08" w:rsidP="00635FCD">
      <w:pPr>
        <w:framePr w:w="10892" w:h="1134" w:hSpace="181" w:wrap="around" w:vAnchor="text" w:hAnchor="page" w:x="676" w:y="7"/>
        <w:pBdr>
          <w:top w:val="single" w:sz="6" w:space="1" w:color="auto"/>
          <w:left w:val="single" w:sz="6" w:space="1" w:color="auto"/>
          <w:bottom w:val="single" w:sz="6" w:space="1" w:color="auto"/>
          <w:right w:val="single" w:sz="6" w:space="1" w:color="auto"/>
        </w:pBdr>
      </w:pPr>
      <w:r w:rsidRPr="00942993">
        <w:t>The international community should provide support to address the issue of illicit cultivation, production and trafficking, as well as the establishment of national monitoring mechanisms, through the provision of specialized technical support and financial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55E9A" w:rsidTr="00955E9A">
        <w:tc>
          <w:tcPr>
            <w:tcW w:w="11016" w:type="dxa"/>
          </w:tcPr>
          <w:p w:rsidR="00955E9A" w:rsidRPr="00955E9A" w:rsidRDefault="00955E9A" w:rsidP="00955E9A">
            <w:pPr>
              <w:widowControl w:val="0"/>
              <w:suppressAutoHyphens/>
              <w:spacing w:line="240" w:lineRule="exact"/>
              <w:ind w:right="1019"/>
              <w:jc w:val="both"/>
              <w:rPr>
                <w:rFonts w:eastAsia="Times New Roman"/>
                <w:spacing w:val="4"/>
                <w:w w:val="103"/>
                <w:kern w:val="14"/>
                <w:lang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34C98">
              <w:rPr>
                <w:rFonts w:eastAsia="Times New Roman"/>
                <w:spacing w:val="4"/>
                <w:w w:val="103"/>
                <w:kern w:val="14"/>
                <w:lang w:val="en-GB" w:eastAsia="en-US"/>
              </w:rPr>
            </w:r>
            <w:r w:rsidR="00834C98">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C30615" w:rsidRDefault="00C30615" w:rsidP="00C8710B">
      <w:pPr>
        <w:rPr>
          <w:b/>
          <w:lang w:val="en-GB"/>
        </w:rPr>
      </w:pPr>
    </w:p>
    <w:p w:rsidR="0087235F" w:rsidRDefault="0087235F" w:rsidP="00C8710B">
      <w:pPr>
        <w:rPr>
          <w:b/>
          <w:lang w:val="en-GB"/>
        </w:rPr>
      </w:pPr>
    </w:p>
    <w:p w:rsidR="00505EA6" w:rsidRDefault="00505EA6" w:rsidP="00C8710B">
      <w:pPr>
        <w:rPr>
          <w:b/>
          <w:lang w:val="en-GB"/>
        </w:rPr>
      </w:pPr>
      <w:bookmarkStart w:id="20" w:name="_Hlk515891057"/>
    </w:p>
    <w:p w:rsidR="00D000E2" w:rsidRDefault="00D000E2" w:rsidP="00C8710B">
      <w:pPr>
        <w:rPr>
          <w:b/>
          <w:lang w:val="en-GB"/>
        </w:rPr>
      </w:pPr>
    </w:p>
    <w:bookmarkEnd w:id="20"/>
    <w:p w:rsidR="00D000E2" w:rsidRPr="00BD0DE6" w:rsidRDefault="00D000E2" w:rsidP="0057159B">
      <w:pPr>
        <w:rPr>
          <w:b/>
          <w:lang w:val="en-GB"/>
        </w:rPr>
      </w:pPr>
    </w:p>
    <w:sectPr w:rsidR="00D000E2" w:rsidRPr="00BD0DE6" w:rsidSect="00DA2C12">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B54" w:rsidRDefault="00CC6B54" w:rsidP="00F36455">
      <w:r>
        <w:separator/>
      </w:r>
    </w:p>
  </w:endnote>
  <w:endnote w:type="continuationSeparator" w:id="0">
    <w:p w:rsidR="00CC6B54" w:rsidRDefault="00CC6B54"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1074018"/>
      <w:docPartObj>
        <w:docPartGallery w:val="Page Numbers (Bottom of Page)"/>
        <w:docPartUnique/>
      </w:docPartObj>
    </w:sdtPr>
    <w:sdtEndPr>
      <w:rPr>
        <w:noProof/>
      </w:rPr>
    </w:sdtEndPr>
    <w:sdtContent>
      <w:p w:rsidR="00C6590F" w:rsidRPr="00C6590F" w:rsidRDefault="00C6590F">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1A4C52">
          <w:rPr>
            <w:noProof/>
            <w:sz w:val="20"/>
            <w:szCs w:val="20"/>
          </w:rPr>
          <w:t>11</w:t>
        </w:r>
        <w:r w:rsidRPr="00C6590F">
          <w:rPr>
            <w:noProof/>
            <w:sz w:val="20"/>
            <w:szCs w:val="20"/>
          </w:rPr>
          <w:fldChar w:fldCharType="end"/>
        </w:r>
      </w:p>
    </w:sdtContent>
  </w:sdt>
  <w:p w:rsidR="00F36455" w:rsidRPr="00C6590F" w:rsidRDefault="00F36455" w:rsidP="00C659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B54" w:rsidRDefault="00CC6B54" w:rsidP="00F36455">
      <w:r>
        <w:separator/>
      </w:r>
    </w:p>
  </w:footnote>
  <w:footnote w:type="continuationSeparator" w:id="0">
    <w:p w:rsidR="00CC6B54" w:rsidRDefault="00CC6B54" w:rsidP="00F3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12"/>
    <w:rsid w:val="00040049"/>
    <w:rsid w:val="00066179"/>
    <w:rsid w:val="00112D74"/>
    <w:rsid w:val="00146D8F"/>
    <w:rsid w:val="00167820"/>
    <w:rsid w:val="001A4C52"/>
    <w:rsid w:val="001B5507"/>
    <w:rsid w:val="001C54D5"/>
    <w:rsid w:val="001D4C6E"/>
    <w:rsid w:val="001F5BD5"/>
    <w:rsid w:val="00280D62"/>
    <w:rsid w:val="002972FC"/>
    <w:rsid w:val="002C775A"/>
    <w:rsid w:val="003D6707"/>
    <w:rsid w:val="003F7954"/>
    <w:rsid w:val="004002FA"/>
    <w:rsid w:val="00436808"/>
    <w:rsid w:val="00485C82"/>
    <w:rsid w:val="004C4C56"/>
    <w:rsid w:val="004E273C"/>
    <w:rsid w:val="00505EA6"/>
    <w:rsid w:val="0057159B"/>
    <w:rsid w:val="0062422D"/>
    <w:rsid w:val="006358B4"/>
    <w:rsid w:val="00635FCD"/>
    <w:rsid w:val="006555C1"/>
    <w:rsid w:val="006C0E37"/>
    <w:rsid w:val="00723925"/>
    <w:rsid w:val="00730028"/>
    <w:rsid w:val="00782AE3"/>
    <w:rsid w:val="007A43E4"/>
    <w:rsid w:val="007D0EE8"/>
    <w:rsid w:val="007E5E6D"/>
    <w:rsid w:val="008249DA"/>
    <w:rsid w:val="00834C98"/>
    <w:rsid w:val="00844C95"/>
    <w:rsid w:val="0087086B"/>
    <w:rsid w:val="0087235F"/>
    <w:rsid w:val="00955E9A"/>
    <w:rsid w:val="00966A08"/>
    <w:rsid w:val="00997F3B"/>
    <w:rsid w:val="00A73E41"/>
    <w:rsid w:val="00AD0B9E"/>
    <w:rsid w:val="00AF1378"/>
    <w:rsid w:val="00B22703"/>
    <w:rsid w:val="00B2495A"/>
    <w:rsid w:val="00B61DC2"/>
    <w:rsid w:val="00BB0354"/>
    <w:rsid w:val="00BB48BF"/>
    <w:rsid w:val="00BD0BAA"/>
    <w:rsid w:val="00BD0DE6"/>
    <w:rsid w:val="00BD1AB1"/>
    <w:rsid w:val="00BF14F8"/>
    <w:rsid w:val="00C265D6"/>
    <w:rsid w:val="00C30615"/>
    <w:rsid w:val="00C6590F"/>
    <w:rsid w:val="00C8710B"/>
    <w:rsid w:val="00CC6B54"/>
    <w:rsid w:val="00D000E2"/>
    <w:rsid w:val="00D33757"/>
    <w:rsid w:val="00D34CEF"/>
    <w:rsid w:val="00D458EA"/>
    <w:rsid w:val="00D925F4"/>
    <w:rsid w:val="00DA2C12"/>
    <w:rsid w:val="00DB07F7"/>
    <w:rsid w:val="00E04B90"/>
    <w:rsid w:val="00E3659E"/>
    <w:rsid w:val="00E8011F"/>
    <w:rsid w:val="00F36455"/>
    <w:rsid w:val="00FD3F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7CF5FF"/>
  <w15:docId w15:val="{ACD02534-D389-43E3-8F99-9011F378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659E"/>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 w:type="character" w:styleId="UnresolvedMention">
    <w:name w:val="Unresolved Mention"/>
    <w:basedOn w:val="DefaultParagraphFont"/>
    <w:uiPriority w:val="99"/>
    <w:semiHidden/>
    <w:unhideWhenUsed/>
    <w:rsid w:val="001678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dc-sgb@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ane.audr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CB2D-B8F7-40BA-839E-DB69AA8F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849</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dc:creator>
  <cp:lastModifiedBy>Stephane Audra</cp:lastModifiedBy>
  <cp:revision>7</cp:revision>
  <cp:lastPrinted>2018-06-04T13:57:00Z</cp:lastPrinted>
  <dcterms:created xsi:type="dcterms:W3CDTF">2020-04-28T13:53:00Z</dcterms:created>
  <dcterms:modified xsi:type="dcterms:W3CDTF">2020-04-29T10:04:00Z</dcterms:modified>
</cp:coreProperties>
</file>