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F9" w:rsidRDefault="009D1DF9" w:rsidP="009D1DF9">
      <w:pPr>
        <w:spacing w:line="20" w:lineRule="exact"/>
        <w:rPr>
          <w:lang w:val="en-GB"/>
        </w:rPr>
        <w:sectPr w:rsidR="009D1DF9" w:rsidSect="00DA2C12">
          <w:footerReference w:type="default" r:id="rId9"/>
          <w:pgSz w:w="12240" w:h="15840"/>
          <w:pgMar w:top="720" w:right="720" w:bottom="720" w:left="720" w:header="708" w:footer="708" w:gutter="0"/>
          <w:cols w:space="708"/>
          <w:docGrid w:linePitch="360"/>
        </w:sectPr>
      </w:pPr>
    </w:p>
    <w:p w:rsidR="00DA2C12" w:rsidRPr="00DA2C12" w:rsidRDefault="00DA2C12" w:rsidP="00DA2C12">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lastRenderedPageBreak/>
        <w:t>Implementation of the recommendations</w:t>
      </w:r>
    </w:p>
    <w:p w:rsidR="00DA2C12" w:rsidRDefault="00DA2C12" w:rsidP="00E04B90">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t xml:space="preserve">adopted by the </w:t>
      </w:r>
      <w:r w:rsidR="00485C82">
        <w:rPr>
          <w:rFonts w:eastAsia="Times New Roman"/>
          <w:b/>
          <w:bCs/>
          <w:snapToGrid w:val="0"/>
          <w:sz w:val="30"/>
          <w:lang w:val="en-GB" w:eastAsia="en-US"/>
        </w:rPr>
        <w:t>Twenty-fifth</w:t>
      </w:r>
      <w:r w:rsidRPr="00DA2C12">
        <w:rPr>
          <w:rFonts w:eastAsia="Times New Roman"/>
          <w:b/>
          <w:bCs/>
          <w:snapToGrid w:val="0"/>
          <w:sz w:val="30"/>
          <w:lang w:val="en-GB" w:eastAsia="en-US"/>
        </w:rPr>
        <w:t xml:space="preserve"> Meeting of Heads of National Drug Law Enforcement Agencies, </w:t>
      </w:r>
      <w:r w:rsidR="00485C82">
        <w:rPr>
          <w:rFonts w:eastAsia="Times New Roman"/>
          <w:b/>
          <w:bCs/>
          <w:snapToGrid w:val="0"/>
          <w:sz w:val="30"/>
          <w:lang w:val="en-GB" w:eastAsia="en-US"/>
        </w:rPr>
        <w:t>Africa</w:t>
      </w:r>
      <w:r w:rsidRPr="00DA2C12">
        <w:rPr>
          <w:rFonts w:eastAsia="Times New Roman"/>
          <w:b/>
          <w:bCs/>
          <w:snapToGrid w:val="0"/>
          <w:sz w:val="30"/>
          <w:lang w:val="en-GB" w:eastAsia="en-US"/>
        </w:rPr>
        <w:t xml:space="preserve">, held in </w:t>
      </w:r>
      <w:r w:rsidR="00485C82">
        <w:rPr>
          <w:rFonts w:eastAsia="Times New Roman"/>
          <w:b/>
          <w:bCs/>
          <w:snapToGrid w:val="0"/>
          <w:sz w:val="30"/>
          <w:lang w:val="en-GB" w:eastAsia="en-US"/>
        </w:rPr>
        <w:t>Algier</w:t>
      </w:r>
      <w:r w:rsidRPr="00DA2C12">
        <w:rPr>
          <w:rFonts w:eastAsia="Times New Roman"/>
          <w:b/>
          <w:bCs/>
          <w:snapToGrid w:val="0"/>
          <w:sz w:val="30"/>
          <w:lang w:val="en-GB" w:eastAsia="en-US"/>
        </w:rPr>
        <w:t xml:space="preserve">s from </w:t>
      </w:r>
      <w:r w:rsidR="00485C82">
        <w:rPr>
          <w:rFonts w:eastAsia="Times New Roman"/>
          <w:b/>
          <w:bCs/>
          <w:snapToGrid w:val="0"/>
          <w:sz w:val="30"/>
          <w:lang w:val="en-GB" w:eastAsia="en-US"/>
        </w:rPr>
        <w:t>14</w:t>
      </w:r>
      <w:r w:rsidRPr="00DA2C12">
        <w:rPr>
          <w:rFonts w:eastAsia="Times New Roman"/>
          <w:b/>
          <w:bCs/>
          <w:snapToGrid w:val="0"/>
          <w:sz w:val="30"/>
          <w:lang w:val="en-GB" w:eastAsia="en-US"/>
        </w:rPr>
        <w:t xml:space="preserve"> to </w:t>
      </w:r>
      <w:r w:rsidR="00485C82">
        <w:rPr>
          <w:rFonts w:eastAsia="Times New Roman"/>
          <w:b/>
          <w:bCs/>
          <w:snapToGrid w:val="0"/>
          <w:sz w:val="30"/>
          <w:lang w:val="en-GB" w:eastAsia="en-US"/>
        </w:rPr>
        <w:t>18</w:t>
      </w:r>
      <w:r w:rsidRPr="00DA2C12">
        <w:rPr>
          <w:rFonts w:eastAsia="Times New Roman"/>
          <w:b/>
          <w:bCs/>
          <w:snapToGrid w:val="0"/>
          <w:sz w:val="30"/>
          <w:lang w:val="en-GB" w:eastAsia="en-US"/>
        </w:rPr>
        <w:t xml:space="preserve"> </w:t>
      </w:r>
      <w:r w:rsidR="00485C82">
        <w:rPr>
          <w:rFonts w:eastAsia="Times New Roman"/>
          <w:b/>
          <w:bCs/>
          <w:snapToGrid w:val="0"/>
          <w:sz w:val="30"/>
          <w:lang w:val="en-GB" w:eastAsia="en-US"/>
        </w:rPr>
        <w:t>September 2015</w:t>
      </w:r>
    </w:p>
    <w:p w:rsidR="00E04B90" w:rsidRDefault="00E04B90" w:rsidP="00DA2C12">
      <w:pPr>
        <w:jc w:val="center"/>
        <w:rPr>
          <w:b/>
          <w:lang w:val="en-GB"/>
        </w:rPr>
      </w:pPr>
    </w:p>
    <w:p w:rsidR="00DA2C12" w:rsidRPr="00C6590F" w:rsidRDefault="00E04B90" w:rsidP="00DA2C12">
      <w:pPr>
        <w:jc w:val="center"/>
        <w:rPr>
          <w:b/>
          <w:sz w:val="28"/>
          <w:szCs w:val="28"/>
          <w:lang w:val="en-GB"/>
        </w:rPr>
      </w:pPr>
      <w:r w:rsidRPr="00C6590F">
        <w:rPr>
          <w:b/>
          <w:sz w:val="28"/>
          <w:szCs w:val="28"/>
          <w:lang w:val="en-GB"/>
        </w:rPr>
        <w:t>QUESTIONNAIRE</w:t>
      </w:r>
    </w:p>
    <w:p w:rsidR="00E04B90" w:rsidRDefault="00E04B90" w:rsidP="00C6590F">
      <w:pPr>
        <w:rPr>
          <w:b/>
          <w:lang w:val="en-GB"/>
        </w:rPr>
      </w:pPr>
    </w:p>
    <w:tbl>
      <w:tblPr>
        <w:tblStyle w:val="TableGrid"/>
        <w:tblpPr w:leftFromText="180" w:rightFromText="180" w:vertAnchor="page" w:horzAnchor="margin" w:tblpXSpec="center" w:tblpY="2743"/>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9D1DF9" w:rsidTr="009D1DF9">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sz w:val="28"/>
                <w:szCs w:val="28"/>
                <w:lang w:val="en-GB"/>
              </w:rPr>
            </w:pPr>
          </w:p>
          <w:p w:rsidR="009D1DF9" w:rsidRPr="00F36455" w:rsidRDefault="009D1DF9" w:rsidP="009D1DF9">
            <w:pPr>
              <w:jc w:val="center"/>
              <w:rPr>
                <w:b/>
                <w:lang w:val="en-GB"/>
              </w:rPr>
            </w:pPr>
            <w:r w:rsidRPr="00F36455">
              <w:rPr>
                <w:b/>
                <w:lang w:val="en-GB"/>
              </w:rPr>
              <w:t>Submission Information</w:t>
            </w:r>
          </w:p>
          <w:p w:rsidR="009D1DF9" w:rsidRPr="00DA2C12" w:rsidRDefault="009D1DF9" w:rsidP="009D1DF9">
            <w:pPr>
              <w:rPr>
                <w:b/>
                <w:sz w:val="28"/>
                <w:szCs w:val="28"/>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lang w:val="en-GB"/>
              </w:rPr>
            </w:pPr>
          </w:p>
          <w:p w:rsidR="009D1DF9" w:rsidRDefault="009D1DF9" w:rsidP="009D1DF9">
            <w:pPr>
              <w:jc w:val="center"/>
              <w:rPr>
                <w:b/>
                <w:lang w:val="en-GB"/>
              </w:rPr>
            </w:pPr>
            <w:r w:rsidRPr="00E04B90">
              <w:rPr>
                <w:b/>
                <w:lang w:val="en-GB"/>
              </w:rPr>
              <w:t>Information for follow-up purposes</w:t>
            </w:r>
          </w:p>
          <w:p w:rsidR="009D1DF9" w:rsidRPr="00E04B90" w:rsidRDefault="009D1DF9" w:rsidP="009D1DF9">
            <w:pPr>
              <w:rPr>
                <w:b/>
                <w:lang w:val="en-GB"/>
              </w:rPr>
            </w:pPr>
          </w:p>
        </w:tc>
      </w:tr>
      <w:tr w:rsidR="009D1DF9" w:rsidTr="009D1DF9">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240" w:after="240"/>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480" w:after="480"/>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9D1DF9" w:rsidTr="009D1DF9">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9D1DF9" w:rsidTr="009D1DF9">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9D1DF9" w:rsidRDefault="009D1DF9" w:rsidP="009D1DF9">
            <w:pPr>
              <w:spacing w:before="120" w:after="120"/>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9D1DF9" w:rsidTr="009D1DF9">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9D1DF9" w:rsidRDefault="009D1DF9" w:rsidP="009D1DF9">
            <w:pPr>
              <w:rPr>
                <w:b/>
                <w:lang w:val="en-GB"/>
              </w:rPr>
            </w:pPr>
          </w:p>
          <w:p w:rsidR="009D1DF9" w:rsidRDefault="009D1DF9" w:rsidP="009D1DF9">
            <w:pPr>
              <w:jc w:val="center"/>
              <w:rPr>
                <w:b/>
                <w:lang w:val="en-GB"/>
              </w:rPr>
            </w:pPr>
            <w:r w:rsidRPr="00E04B90">
              <w:rPr>
                <w:b/>
                <w:lang w:val="en-GB"/>
              </w:rPr>
              <w:t>Publishing on the UNODC website</w:t>
            </w:r>
          </w:p>
          <w:p w:rsidR="009D1DF9" w:rsidRPr="00E04B90" w:rsidRDefault="009D1DF9" w:rsidP="009D1DF9">
            <w:pPr>
              <w:rPr>
                <w:b/>
                <w:lang w:val="en-GB"/>
              </w:rPr>
            </w:pPr>
          </w:p>
        </w:tc>
      </w:tr>
      <w:tr w:rsidR="009D1DF9" w:rsidTr="009D1DF9">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9D1DF9" w:rsidRDefault="009D1DF9" w:rsidP="009D1DF9">
            <w:pPr>
              <w:spacing w:after="120"/>
              <w:rPr>
                <w:lang w:val="en-GB"/>
              </w:rPr>
            </w:pPr>
            <w:r>
              <w:rPr>
                <w:lang w:val="en-GB"/>
              </w:rPr>
              <w:t xml:space="preserve">Do you agree to post the questionnaire “as received” </w:t>
            </w:r>
          </w:p>
          <w:p w:rsidR="009D1DF9" w:rsidRDefault="009D1DF9" w:rsidP="009D1DF9">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9D1DF9" w:rsidRDefault="009D1DF9" w:rsidP="009D1DF9">
            <w:pPr>
              <w:spacing w:after="120"/>
              <w:rPr>
                <w:lang w:val="en-GB"/>
              </w:rPr>
            </w:pPr>
            <w:r>
              <w:rPr>
                <w:lang w:val="en-GB"/>
              </w:rPr>
              <w:fldChar w:fldCharType="begin">
                <w:ffData>
                  <w:name w:val="Check1"/>
                  <w:enabled/>
                  <w:calcOnExit w:val="0"/>
                  <w:checkBox>
                    <w:sizeAuto/>
                    <w:default w:val="0"/>
                    <w:checked w:val="0"/>
                  </w:checkBox>
                </w:ffData>
              </w:fldChar>
            </w:r>
            <w:bookmarkStart w:id="7" w:name="Check1"/>
            <w:r>
              <w:rPr>
                <w:lang w:val="en-GB"/>
              </w:rPr>
              <w:instrText xml:space="preserve"> FORMCHECKBOX </w:instrText>
            </w:r>
            <w:r w:rsidR="008A744B">
              <w:rPr>
                <w:lang w:val="en-GB"/>
              </w:rPr>
            </w:r>
            <w:r w:rsidR="008A744B">
              <w:rPr>
                <w:lang w:val="en-GB"/>
              </w:rPr>
              <w:fldChar w:fldCharType="separate"/>
            </w:r>
            <w:r>
              <w:rPr>
                <w:lang w:val="en-GB"/>
              </w:rPr>
              <w:fldChar w:fldCharType="end"/>
            </w:r>
            <w:bookmarkEnd w:id="7"/>
            <w:r>
              <w:rPr>
                <w:lang w:val="en-GB"/>
              </w:rPr>
              <w:t xml:space="preserve"> YES</w:t>
            </w:r>
          </w:p>
          <w:p w:rsidR="009D1DF9" w:rsidRDefault="009D1DF9" w:rsidP="009D1DF9">
            <w:pPr>
              <w:spacing w:after="120"/>
              <w:rPr>
                <w:lang w:val="en-GB"/>
              </w:rPr>
            </w:pPr>
            <w:r>
              <w:rPr>
                <w:lang w:val="en-GB"/>
              </w:rPr>
              <w:fldChar w:fldCharType="begin">
                <w:ffData>
                  <w:name w:val="Check2"/>
                  <w:enabled/>
                  <w:calcOnExit w:val="0"/>
                  <w:checkBox>
                    <w:sizeAuto/>
                    <w:default w:val="0"/>
                    <w:checked w:val="0"/>
                  </w:checkBox>
                </w:ffData>
              </w:fldChar>
            </w:r>
            <w:bookmarkStart w:id="8" w:name="Check2"/>
            <w:r>
              <w:rPr>
                <w:lang w:val="en-GB"/>
              </w:rPr>
              <w:instrText xml:space="preserve"> FORMCHECKBOX </w:instrText>
            </w:r>
            <w:r w:rsidR="008A744B">
              <w:rPr>
                <w:lang w:val="en-GB"/>
              </w:rPr>
            </w:r>
            <w:r w:rsidR="008A744B">
              <w:rPr>
                <w:lang w:val="en-GB"/>
              </w:rPr>
              <w:fldChar w:fldCharType="separate"/>
            </w:r>
            <w:r>
              <w:rPr>
                <w:lang w:val="en-GB"/>
              </w:rPr>
              <w:fldChar w:fldCharType="end"/>
            </w:r>
            <w:bookmarkEnd w:id="8"/>
            <w:r>
              <w:rPr>
                <w:lang w:val="en-GB"/>
              </w:rPr>
              <w:t xml:space="preserve"> NO</w:t>
            </w:r>
          </w:p>
        </w:tc>
      </w:tr>
    </w:tbl>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E04B90">
        <w:rPr>
          <w:rFonts w:eastAsia="Times New Roman"/>
          <w:b/>
          <w:bCs/>
          <w:spacing w:val="4"/>
          <w:w w:val="103"/>
          <w:kern w:val="14"/>
          <w:sz w:val="22"/>
          <w:szCs w:val="22"/>
          <w:lang w:val="en-GB" w:eastAsia="en-US"/>
        </w:rPr>
        <w:t>Secretariat to the Governing Bodies</w:t>
      </w:r>
      <w:bookmarkStart w:id="9" w:name="_GoBack"/>
      <w:bookmarkEnd w:id="9"/>
    </w:p>
    <w:p w:rsidR="00782AE3" w:rsidRDefault="00C6590F" w:rsidP="00C6590F">
      <w:pPr>
        <w:tabs>
          <w:tab w:val="center" w:pos="5400"/>
          <w:tab w:val="right" w:pos="10800"/>
        </w:tabs>
        <w:suppressAutoHyphens/>
        <w:spacing w:line="240" w:lineRule="exact"/>
        <w:rPr>
          <w:rFonts w:eastAsia="Times New Roman"/>
          <w:b/>
          <w:bCs/>
          <w:spacing w:val="4"/>
          <w:w w:val="103"/>
          <w:kern w:val="14"/>
          <w:sz w:val="22"/>
          <w:szCs w:val="22"/>
          <w:lang w:val="de-AT" w:eastAsia="en-US"/>
        </w:rPr>
      </w:pPr>
      <w:r>
        <w:rPr>
          <w:rFonts w:eastAsia="Times New Roman"/>
          <w:b/>
          <w:bCs/>
          <w:spacing w:val="4"/>
          <w:w w:val="103"/>
          <w:kern w:val="14"/>
          <w:sz w:val="22"/>
          <w:szCs w:val="22"/>
          <w:lang w:val="en-GB" w:eastAsia="en-US"/>
        </w:rPr>
        <w:tab/>
      </w:r>
      <w:r w:rsidR="00E04B90" w:rsidRPr="008249DA">
        <w:rPr>
          <w:rFonts w:eastAsia="Times New Roman"/>
          <w:b/>
          <w:bCs/>
          <w:spacing w:val="4"/>
          <w:w w:val="103"/>
          <w:kern w:val="14"/>
          <w:sz w:val="22"/>
          <w:szCs w:val="22"/>
          <w:lang w:val="de-AT" w:eastAsia="en-US"/>
        </w:rPr>
        <w:t xml:space="preserve">E-mail: </w:t>
      </w:r>
      <w:r w:rsidR="003E6972">
        <w:fldChar w:fldCharType="begin"/>
      </w:r>
      <w:r w:rsidR="003E6972">
        <w:instrText xml:space="preserve"> HYPERLINK "mailto:sgb@unodc.org" </w:instrText>
      </w:r>
      <w:r w:rsidR="003E6972">
        <w:fldChar w:fldCharType="separate"/>
      </w:r>
      <w:r w:rsidR="00E04B90" w:rsidRPr="008249DA">
        <w:rPr>
          <w:rFonts w:eastAsia="Times New Roman"/>
          <w:b/>
          <w:bCs/>
          <w:color w:val="0000FF"/>
          <w:spacing w:val="4"/>
          <w:w w:val="103"/>
          <w:kern w:val="14"/>
          <w:sz w:val="22"/>
          <w:szCs w:val="22"/>
          <w:u w:val="single"/>
          <w:lang w:val="de-AT" w:eastAsia="en-US"/>
        </w:rPr>
        <w:t>sgb@unodc.org</w:t>
      </w:r>
      <w:r w:rsidR="003E6972">
        <w:rPr>
          <w:rFonts w:eastAsia="Times New Roman"/>
          <w:b/>
          <w:bCs/>
          <w:color w:val="0000FF"/>
          <w:spacing w:val="4"/>
          <w:w w:val="103"/>
          <w:kern w:val="14"/>
          <w:sz w:val="22"/>
          <w:szCs w:val="22"/>
          <w:u w:val="single"/>
          <w:lang w:val="de-AT" w:eastAsia="en-US"/>
        </w:rPr>
        <w:fldChar w:fldCharType="end"/>
      </w:r>
      <w:r w:rsidR="00E04B90" w:rsidRPr="008249DA">
        <w:rPr>
          <w:rFonts w:eastAsia="Times New Roman"/>
          <w:b/>
          <w:bCs/>
          <w:spacing w:val="4"/>
          <w:w w:val="103"/>
          <w:kern w:val="14"/>
          <w:sz w:val="22"/>
          <w:szCs w:val="22"/>
          <w:lang w:val="de-AT" w:eastAsia="en-US"/>
        </w:rPr>
        <w:t xml:space="preserve"> </w:t>
      </w:r>
    </w:p>
    <w:p w:rsidR="00782AE3"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Pr>
          <w:rFonts w:eastAsia="Times New Roman"/>
          <w:b/>
          <w:bCs/>
          <w:spacing w:val="4"/>
          <w:w w:val="103"/>
          <w:kern w:val="14"/>
          <w:sz w:val="22"/>
          <w:szCs w:val="22"/>
          <w:lang w:val="de-AT" w:eastAsia="en-US"/>
        </w:rPr>
        <w:t xml:space="preserve">Copy: </w:t>
      </w:r>
      <w:hyperlink r:id="rId10" w:history="1">
        <w:r w:rsidRPr="000966E8">
          <w:rPr>
            <w:rStyle w:val="Hyperlink"/>
            <w:rFonts w:eastAsia="Times New Roman"/>
            <w:b/>
            <w:bCs/>
            <w:spacing w:val="4"/>
            <w:w w:val="103"/>
            <w:kern w:val="14"/>
            <w:sz w:val="22"/>
            <w:szCs w:val="22"/>
            <w:lang w:val="de-AT" w:eastAsia="en-US"/>
          </w:rPr>
          <w:t>simone.rupprich@unodc.org</w:t>
        </w:r>
      </w:hyperlink>
      <w:r w:rsidRPr="00782AE3">
        <w:rPr>
          <w:rFonts w:eastAsia="Times New Roman"/>
          <w:b/>
          <w:bCs/>
          <w:spacing w:val="4"/>
          <w:w w:val="103"/>
          <w:kern w:val="14"/>
          <w:sz w:val="22"/>
          <w:szCs w:val="22"/>
          <w:lang w:val="en-GB" w:eastAsia="en-US"/>
        </w:rPr>
        <w:t xml:space="preserve"> </w:t>
      </w:r>
    </w:p>
    <w:p w:rsidR="00782AE3"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de-AT" w:eastAsia="en-US"/>
        </w:rPr>
      </w:pPr>
      <w:r w:rsidRPr="00E04B90">
        <w:rPr>
          <w:rFonts w:eastAsia="Times New Roman"/>
          <w:b/>
          <w:bCs/>
          <w:spacing w:val="4"/>
          <w:w w:val="103"/>
          <w:kern w:val="14"/>
          <w:sz w:val="22"/>
          <w:szCs w:val="22"/>
          <w:lang w:val="en-GB" w:eastAsia="en-US"/>
        </w:rPr>
        <w:t>United Nations Office on Drugs and Crime (UNODC)</w:t>
      </w:r>
    </w:p>
    <w:p w:rsidR="00E04B90" w:rsidRPr="008249DA" w:rsidRDefault="00E04B90" w:rsidP="00E04B90">
      <w:pPr>
        <w:suppressAutoHyphens/>
        <w:spacing w:line="240" w:lineRule="exact"/>
        <w:jc w:val="center"/>
        <w:rPr>
          <w:rFonts w:eastAsia="Times New Roman"/>
          <w:b/>
          <w:spacing w:val="4"/>
          <w:w w:val="103"/>
          <w:kern w:val="14"/>
          <w:lang w:val="de-AT" w:eastAsia="en-US"/>
        </w:rPr>
      </w:pPr>
    </w:p>
    <w:p w:rsidR="00E04B90" w:rsidRPr="00782AE3" w:rsidRDefault="00E04B90" w:rsidP="00E04B90">
      <w:pPr>
        <w:suppressAutoHyphens/>
        <w:spacing w:line="240" w:lineRule="exact"/>
        <w:jc w:val="center"/>
        <w:rPr>
          <w:rFonts w:eastAsia="Times New Roman"/>
          <w:b/>
          <w:spacing w:val="4"/>
          <w:w w:val="103"/>
          <w:kern w:val="14"/>
          <w:sz w:val="28"/>
          <w:szCs w:val="28"/>
          <w:lang w:val="en-GB" w:eastAsia="en-US"/>
        </w:rPr>
      </w:pPr>
      <w:r w:rsidRPr="00782AE3">
        <w:rPr>
          <w:rFonts w:eastAsia="Times New Roman"/>
          <w:b/>
          <w:spacing w:val="4"/>
          <w:w w:val="103"/>
          <w:kern w:val="14"/>
          <w:sz w:val="28"/>
          <w:szCs w:val="28"/>
          <w:lang w:val="en-GB" w:eastAsia="en-US"/>
        </w:rPr>
        <w:t xml:space="preserve">by </w:t>
      </w:r>
      <w:r w:rsidR="00A37E80">
        <w:rPr>
          <w:rFonts w:eastAsia="Times New Roman"/>
          <w:b/>
          <w:spacing w:val="4"/>
          <w:w w:val="103"/>
          <w:kern w:val="14"/>
          <w:sz w:val="28"/>
          <w:szCs w:val="28"/>
          <w:lang w:val="en-GB" w:eastAsia="en-US"/>
        </w:rPr>
        <w:t>23</w:t>
      </w:r>
      <w:r w:rsidR="00485C82" w:rsidRPr="00782AE3">
        <w:rPr>
          <w:rFonts w:eastAsia="Times New Roman"/>
          <w:b/>
          <w:spacing w:val="4"/>
          <w:w w:val="103"/>
          <w:kern w:val="14"/>
          <w:sz w:val="28"/>
          <w:szCs w:val="28"/>
          <w:lang w:val="en-GB" w:eastAsia="en-US"/>
        </w:rPr>
        <w:t xml:space="preserve"> June </w:t>
      </w:r>
      <w:r w:rsidRPr="00782AE3">
        <w:rPr>
          <w:rFonts w:eastAsia="Times New Roman"/>
          <w:b/>
          <w:spacing w:val="4"/>
          <w:w w:val="103"/>
          <w:kern w:val="14"/>
          <w:sz w:val="28"/>
          <w:szCs w:val="28"/>
          <w:lang w:val="en-GB" w:eastAsia="en-US"/>
        </w:rPr>
        <w:t>2017</w:t>
      </w: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words;</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recommendation;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in addition to description of action taken;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rsidR="002972FC" w:rsidRPr="002972FC" w:rsidRDefault="002972FC" w:rsidP="002972FC">
      <w:pPr>
        <w:pStyle w:val="ListParagraph"/>
        <w:rPr>
          <w:rFonts w:eastAsia="Times New Roman"/>
          <w:spacing w:val="4"/>
          <w:w w:val="103"/>
          <w:kern w:val="14"/>
          <w:lang w:val="en-GB" w:eastAsia="en-US"/>
        </w:rPr>
      </w:pPr>
    </w:p>
    <w:p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rPr>
          <w:trHeight w:val="567"/>
        </w:trPr>
        <w:tc>
          <w:tcPr>
            <w:tcW w:w="11016" w:type="dxa"/>
            <w:tcBorders>
              <w:bottom w:val="single" w:sz="4" w:space="0" w:color="auto"/>
            </w:tcBorders>
            <w:vAlign w:val="center"/>
          </w:tcPr>
          <w:p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Issue I</w:t>
            </w:r>
          </w:p>
        </w:tc>
      </w:tr>
      <w:tr w:rsidR="002972FC" w:rsidTr="00DB07F7">
        <w:trPr>
          <w:trHeight w:val="567"/>
        </w:trPr>
        <w:tc>
          <w:tcPr>
            <w:tcW w:w="11016" w:type="dxa"/>
            <w:tcBorders>
              <w:top w:val="single" w:sz="4" w:space="0" w:color="auto"/>
            </w:tcBorders>
            <w:vAlign w:val="center"/>
          </w:tcPr>
          <w:p w:rsidR="002972FC" w:rsidRPr="00F36455" w:rsidRDefault="00485C82" w:rsidP="00DB07F7">
            <w:pPr>
              <w:widowControl w:val="0"/>
              <w:suppressAutoHyphens/>
              <w:spacing w:line="240" w:lineRule="exact"/>
              <w:ind w:right="1019"/>
              <w:rPr>
                <w:rFonts w:eastAsia="Times New Roman"/>
                <w:b/>
                <w:spacing w:val="4"/>
                <w:w w:val="103"/>
                <w:kern w:val="14"/>
                <w:sz w:val="28"/>
                <w:szCs w:val="28"/>
                <w:lang w:val="en-GB" w:eastAsia="en-US"/>
              </w:rPr>
            </w:pPr>
            <w:r w:rsidRPr="00485C82">
              <w:rPr>
                <w:rFonts w:eastAsia="Times New Roman"/>
                <w:b/>
                <w:spacing w:val="4"/>
                <w:w w:val="103"/>
                <w:kern w:val="14"/>
                <w:sz w:val="28"/>
                <w:szCs w:val="28"/>
                <w:lang w:val="en-GB" w:eastAsia="en-US"/>
              </w:rPr>
              <w:t>Designing effective strategies to address cannabis trafficking</w:t>
            </w:r>
          </w:p>
        </w:tc>
      </w:tr>
      <w:tr w:rsidR="002972FC" w:rsidTr="00DB07F7">
        <w:trPr>
          <w:trHeight w:val="567"/>
        </w:trPr>
        <w:tc>
          <w:tcPr>
            <w:tcW w:w="11016" w:type="dxa"/>
            <w:vAlign w:val="center"/>
          </w:tcPr>
          <w:p w:rsidR="002972FC" w:rsidRPr="00F36455" w:rsidRDefault="002972FC" w:rsidP="00DB07F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p>
        </w:tc>
      </w:tr>
    </w:tbl>
    <w:p w:rsidR="00955E9A" w:rsidRPr="00DB07F7" w:rsidRDefault="00485C82" w:rsidP="00955E9A">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rsidRPr="00485C82">
        <w:rPr>
          <w:lang w:val="en-GB"/>
        </w:rPr>
        <w:t>Where they have not already done so, Governments are urged to develop well-defined national strategies to address the domestic cultivation of illicit crops, in particular cannabis, and the factors driving their ongoing cultivation</w:t>
      </w:r>
      <w:r w:rsid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c>
          <w:tcPr>
            <w:tcW w:w="11016" w:type="dxa"/>
          </w:tcPr>
          <w:p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rsidR="002972FC"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Pr>
                <w:rFonts w:eastAsia="Times New Roman"/>
                <w:spacing w:val="4"/>
                <w:w w:val="103"/>
                <w:kern w:val="14"/>
                <w:lang w:val="en-GB" w:eastAsia="en-US"/>
              </w:rPr>
              <w:t xml:space="preserve"> </w:t>
            </w:r>
            <w:r>
              <w:rPr>
                <w:rFonts w:eastAsia="Times New Roman"/>
                <w:spacing w:val="4"/>
                <w:w w:val="103"/>
                <w:kern w:val="14"/>
                <w:lang w:val="en-GB" w:eastAsia="en-US"/>
              </w:rPr>
              <w:t xml:space="preserve">YES </w:t>
            </w:r>
            <w:r>
              <w:rPr>
                <w:rFonts w:eastAsia="Times New Roman"/>
                <w:spacing w:val="4"/>
                <w:w w:val="103"/>
                <w:kern w:val="14"/>
                <w:lang w:val="en-GB" w:eastAsia="en-US"/>
              </w:rPr>
              <w:fldChar w:fldCharType="begin">
                <w:ffData>
                  <w:name w:val="Check4"/>
                  <w:enabled/>
                  <w:calcOnExit w:val="0"/>
                  <w:checkBox>
                    <w:sizeAuto/>
                    <w:default w:val="0"/>
                  </w:checkBox>
                </w:ffData>
              </w:fldChar>
            </w:r>
            <w:bookmarkStart w:id="10" w:name="Check4"/>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bookmarkEnd w:id="10"/>
            <w:r>
              <w:rPr>
                <w:rFonts w:eastAsia="Times New Roman"/>
                <w:spacing w:val="4"/>
                <w:w w:val="103"/>
                <w:kern w:val="14"/>
                <w:lang w:val="en-GB" w:eastAsia="en-US"/>
              </w:rPr>
              <w:t xml:space="preserve"> NO</w:t>
            </w:r>
          </w:p>
        </w:tc>
      </w:tr>
      <w:tr w:rsidR="002972FC" w:rsidTr="00DB07F7">
        <w:tc>
          <w:tcPr>
            <w:tcW w:w="11016" w:type="dxa"/>
          </w:tcPr>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rsidR="001C54D5" w:rsidRPr="00DB07F7" w:rsidRDefault="003D6707"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t xml:space="preserve">Governments should be encouraged to undertake efforts to establish an open and direct dialogue with farmers on crop substitution and related community improvement </w:t>
      </w:r>
      <w:proofErr w:type="spellStart"/>
      <w:r>
        <w:t>programmes</w:t>
      </w:r>
      <w:proofErr w:type="spellEnd"/>
      <w:r>
        <w:t xml:space="preserve"> in order to persuade them of the benefits of cultivating licit crops as alternatives to cannabis.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3</w:t>
            </w:r>
          </w:p>
        </w:tc>
      </w:tr>
    </w:tbl>
    <w:p w:rsidR="001C54D5" w:rsidRPr="00DB07F7" w:rsidRDefault="003D6707"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3D6707">
        <w:rPr>
          <w:lang w:val="en-GB"/>
        </w:rPr>
        <w:t xml:space="preserve">Governments of the region must do more to encourage and support their law enforcement authorities to develop and strengthen regional and </w:t>
      </w:r>
      <w:proofErr w:type="spellStart"/>
      <w:r w:rsidRPr="003D6707">
        <w:rPr>
          <w:lang w:val="en-GB"/>
        </w:rPr>
        <w:t>subregional</w:t>
      </w:r>
      <w:proofErr w:type="spellEnd"/>
      <w:r w:rsidRPr="003D6707">
        <w:rPr>
          <w:lang w:val="en-GB"/>
        </w:rPr>
        <w:t xml:space="preserve"> collaboration in information-sharing and investigation support, as well as coordination among agencies at the national level, in order to effectively counter trafficking and organized crime</w:t>
      </w:r>
      <w:r w:rsidR="001C54D5" w:rsidRP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C54D5" w:rsidRPr="00BD0DE6" w:rsidRDefault="001C54D5" w:rsidP="001C54D5">
      <w:pPr>
        <w:rPr>
          <w:b/>
          <w:lang w:val="en-GB"/>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D6707" w:rsidTr="00854DF0">
        <w:trPr>
          <w:trHeight w:val="567"/>
        </w:trPr>
        <w:tc>
          <w:tcPr>
            <w:tcW w:w="11016" w:type="dxa"/>
            <w:vAlign w:val="center"/>
          </w:tcPr>
          <w:p w:rsidR="003D6707" w:rsidRPr="00F36455" w:rsidRDefault="003D6707"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4</w:t>
            </w:r>
          </w:p>
        </w:tc>
      </w:tr>
    </w:tbl>
    <w:p w:rsidR="003D6707" w:rsidRPr="00DB07F7" w:rsidRDefault="003D6707" w:rsidP="003D6707">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3D6707">
        <w:rPr>
          <w:lang w:val="en-GB"/>
        </w:rPr>
        <w:t>Governments should establish comprehensive strategies for drug demand reduction that include public education, research, policy formulation, treatment and rehabilitation, in order to address the challenge posed by the illicit use of cannabis, especially among young people</w:t>
      </w:r>
      <w:r w:rsidRP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D6707" w:rsidTr="00854DF0">
        <w:tc>
          <w:tcPr>
            <w:tcW w:w="11016" w:type="dxa"/>
          </w:tcPr>
          <w:p w:rsidR="003D6707" w:rsidRDefault="003D6707" w:rsidP="00854DF0">
            <w:pPr>
              <w:widowControl w:val="0"/>
              <w:suppressAutoHyphens/>
              <w:spacing w:line="240" w:lineRule="exact"/>
              <w:ind w:right="1019"/>
              <w:jc w:val="both"/>
              <w:rPr>
                <w:rFonts w:eastAsia="Times New Roman"/>
                <w:spacing w:val="4"/>
                <w:w w:val="103"/>
                <w:kern w:val="14"/>
                <w:lang w:val="en-GB" w:eastAsia="en-US"/>
              </w:rPr>
            </w:pPr>
          </w:p>
          <w:p w:rsidR="003D6707" w:rsidRDefault="003D6707" w:rsidP="00854DF0">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3D6707" w:rsidTr="00854DF0">
        <w:tc>
          <w:tcPr>
            <w:tcW w:w="11016" w:type="dxa"/>
          </w:tcPr>
          <w:p w:rsidR="003D6707" w:rsidRDefault="003D6707" w:rsidP="00854DF0">
            <w:pPr>
              <w:widowControl w:val="0"/>
              <w:suppressAutoHyphens/>
              <w:spacing w:line="240" w:lineRule="exact"/>
              <w:ind w:right="1019"/>
              <w:jc w:val="both"/>
              <w:rPr>
                <w:rFonts w:eastAsia="Times New Roman"/>
                <w:spacing w:val="4"/>
                <w:w w:val="103"/>
                <w:kern w:val="14"/>
                <w:lang w:val="en-GB" w:eastAsia="en-US"/>
              </w:rPr>
            </w:pPr>
          </w:p>
        </w:tc>
      </w:tr>
      <w:tr w:rsidR="003D6707" w:rsidTr="00854DF0">
        <w:tc>
          <w:tcPr>
            <w:tcW w:w="11016" w:type="dxa"/>
          </w:tcPr>
          <w:p w:rsidR="003D6707" w:rsidRDefault="003D6707" w:rsidP="00854DF0">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3D6707" w:rsidRDefault="003D6707" w:rsidP="003D670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F36455" w:rsidRDefault="00F364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bottom w:val="single" w:sz="4" w:space="0" w:color="auto"/>
            </w:tcBorders>
            <w:vAlign w:val="center"/>
          </w:tcPr>
          <w:p w:rsidR="001C54D5" w:rsidRPr="00DB07F7" w:rsidRDefault="001C54D5" w:rsidP="001C54D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bl>
    <w:p w:rsidR="00955E9A" w:rsidRPr="00DB07F7" w:rsidRDefault="003D6707" w:rsidP="00955E9A">
      <w:pPr>
        <w:framePr w:w="10890" w:h="1291" w:hSpace="180" w:wrap="around" w:vAnchor="text" w:hAnchor="page" w:x="674" w:y="1281"/>
        <w:pBdr>
          <w:top w:val="single" w:sz="6" w:space="1" w:color="auto"/>
          <w:left w:val="single" w:sz="6" w:space="1" w:color="auto"/>
          <w:bottom w:val="single" w:sz="6" w:space="1" w:color="auto"/>
          <w:right w:val="single" w:sz="6" w:space="1" w:color="auto"/>
        </w:pBdr>
        <w:jc w:val="both"/>
        <w:rPr>
          <w:lang w:val="en-GB"/>
        </w:rPr>
      </w:pPr>
      <w:r w:rsidRPr="003D6707">
        <w:rPr>
          <w:lang w:val="en-GB"/>
        </w:rPr>
        <w:t>Governments must support and strengthen regional cooperation among Africa’s law enforcement agencies in the exchange of information, the responses given to requests for investigation and related assistance, and collaboration in coordinated operations against drug trafficking</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top w:val="single" w:sz="4" w:space="0" w:color="auto"/>
            </w:tcBorders>
            <w:vAlign w:val="center"/>
          </w:tcPr>
          <w:p w:rsidR="001C54D5" w:rsidRPr="001C54D5" w:rsidRDefault="003D6707" w:rsidP="001C54D5">
            <w:pPr>
              <w:widowControl w:val="0"/>
              <w:suppressAutoHyphens/>
              <w:spacing w:line="240" w:lineRule="exact"/>
              <w:ind w:right="1019"/>
              <w:rPr>
                <w:rFonts w:eastAsia="Times New Roman"/>
                <w:b/>
                <w:spacing w:val="4"/>
                <w:w w:val="103"/>
                <w:kern w:val="14"/>
                <w:lang w:val="en-GB" w:eastAsia="en-US"/>
              </w:rPr>
            </w:pPr>
            <w:r w:rsidRPr="003D6707">
              <w:rPr>
                <w:rFonts w:eastAsia="Times New Roman"/>
                <w:b/>
                <w:spacing w:val="4"/>
                <w:w w:val="103"/>
                <w:kern w:val="14"/>
                <w:sz w:val="28"/>
                <w:szCs w:val="28"/>
                <w:lang w:val="en-GB" w:eastAsia="en-US"/>
              </w:rPr>
              <w:t>Border control measures and other methods to curtail drug trafficking</w:t>
            </w:r>
          </w:p>
        </w:tc>
      </w:tr>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D6707">
              <w:rPr>
                <w:rFonts w:eastAsia="Times New Roman"/>
                <w:b/>
                <w:spacing w:val="4"/>
                <w:w w:val="103"/>
                <w:kern w:val="14"/>
                <w:lang w:val="en-GB" w:eastAsia="en-US"/>
              </w:rPr>
              <w:t>5</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F36455" w:rsidRPr="002972FC" w:rsidRDefault="00F3645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D6707">
              <w:rPr>
                <w:rFonts w:eastAsia="Times New Roman"/>
                <w:b/>
                <w:spacing w:val="4"/>
                <w:w w:val="103"/>
                <w:kern w:val="14"/>
                <w:lang w:val="en-GB" w:eastAsia="en-US"/>
              </w:rPr>
              <w:t>6</w:t>
            </w:r>
          </w:p>
        </w:tc>
      </w:tr>
    </w:tbl>
    <w:p w:rsidR="001C54D5" w:rsidRPr="00DB07F7" w:rsidRDefault="003D6707"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3D6707">
        <w:rPr>
          <w:lang w:val="en-GB"/>
        </w:rPr>
        <w:t>In view of the exponential growth in trade and passenger volumes by air, land and sea, and in view of the need to ensure that borders are well protected, Governments are encouraged to review their national strategies related to border management, examine the degree of cooperation between border agencies and assess the application of current controls</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C54D5" w:rsidRDefault="001C54D5" w:rsidP="00C8710B">
      <w:pPr>
        <w:rPr>
          <w:b/>
          <w:lang w:val="en-GB"/>
        </w:rPr>
      </w:pPr>
    </w:p>
    <w:p w:rsidR="00955E9A" w:rsidRDefault="00955E9A"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D6707">
              <w:rPr>
                <w:rFonts w:eastAsia="Times New Roman"/>
                <w:b/>
                <w:spacing w:val="4"/>
                <w:w w:val="103"/>
                <w:kern w:val="14"/>
                <w:lang w:val="en-GB" w:eastAsia="en-US"/>
              </w:rPr>
              <w:t>7</w:t>
            </w:r>
          </w:p>
        </w:tc>
      </w:tr>
    </w:tbl>
    <w:p w:rsidR="00955E9A" w:rsidRPr="00DB07F7" w:rsidRDefault="003D6707"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3D6707">
        <w:rPr>
          <w:lang w:val="en-GB"/>
        </w:rPr>
        <w:t>Governments are encouraged to join international cooperation initiatives such as the Airport Communication Project (AIRCOP) and the Container Control Programme of the United Nations Office on Drugs and Crime (UNODC) in order to improve the potential of their border protection, benefit from the synergies those initiatives create and to build on the platforms they provide to develop their own bilateral or multilateral agreements to facilitate information-sharing and operational cooperation</w:t>
      </w:r>
      <w:r w:rsidR="00955E9A" w:rsidRP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55E9A" w:rsidRPr="00BD0DE6" w:rsidRDefault="00955E9A" w:rsidP="00955E9A">
      <w:pPr>
        <w:rPr>
          <w:b/>
          <w:lang w:val="en-GB"/>
        </w:rPr>
      </w:pPr>
    </w:p>
    <w:p w:rsidR="00955E9A" w:rsidRDefault="00955E9A">
      <w:pPr>
        <w:rPr>
          <w:b/>
          <w:lang w:val="en-GB"/>
        </w:rPr>
      </w:pPr>
      <w:r>
        <w:rPr>
          <w:b/>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tcBorders>
              <w:bottom w:val="single" w:sz="4" w:space="0" w:color="auto"/>
            </w:tcBorders>
            <w:vAlign w:val="center"/>
          </w:tcPr>
          <w:p w:rsidR="00955E9A" w:rsidRPr="00DB07F7" w:rsidRDefault="00955E9A" w:rsidP="00955E9A">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rsidTr="00955E9A">
        <w:trPr>
          <w:trHeight w:val="567"/>
        </w:trPr>
        <w:tc>
          <w:tcPr>
            <w:tcW w:w="11016" w:type="dxa"/>
            <w:tcBorders>
              <w:top w:val="single" w:sz="4" w:space="0" w:color="auto"/>
            </w:tcBorders>
            <w:vAlign w:val="center"/>
          </w:tcPr>
          <w:p w:rsidR="007D0EE8" w:rsidRDefault="003D6707" w:rsidP="00955E9A">
            <w:pPr>
              <w:widowControl w:val="0"/>
              <w:suppressAutoHyphens/>
              <w:spacing w:line="240" w:lineRule="exact"/>
              <w:ind w:right="1019"/>
              <w:rPr>
                <w:rFonts w:eastAsia="Times New Roman"/>
                <w:b/>
                <w:spacing w:val="4"/>
                <w:w w:val="103"/>
                <w:kern w:val="14"/>
                <w:sz w:val="28"/>
                <w:szCs w:val="28"/>
                <w:lang w:val="en-GB" w:eastAsia="en-US"/>
              </w:rPr>
            </w:pPr>
            <w:r w:rsidRPr="003D6707">
              <w:rPr>
                <w:rFonts w:eastAsia="Times New Roman"/>
                <w:b/>
                <w:spacing w:val="4"/>
                <w:w w:val="103"/>
                <w:kern w:val="14"/>
                <w:sz w:val="28"/>
                <w:szCs w:val="28"/>
                <w:lang w:val="en-GB" w:eastAsia="en-US"/>
              </w:rPr>
              <w:t>Judicial challenges, including difference</w:t>
            </w:r>
            <w:r w:rsidR="007D0EE8">
              <w:rPr>
                <w:rFonts w:eastAsia="Times New Roman"/>
                <w:b/>
                <w:spacing w:val="4"/>
                <w:w w:val="103"/>
                <w:kern w:val="14"/>
                <w:sz w:val="28"/>
                <w:szCs w:val="28"/>
                <w:lang w:val="en-GB" w:eastAsia="en-US"/>
              </w:rPr>
              <w:t>s in legislation, penalties and</w:t>
            </w:r>
          </w:p>
          <w:p w:rsidR="003D6707" w:rsidRPr="003D6707" w:rsidRDefault="003D6707" w:rsidP="00955E9A">
            <w:pPr>
              <w:widowControl w:val="0"/>
              <w:suppressAutoHyphens/>
              <w:spacing w:line="240" w:lineRule="exact"/>
              <w:ind w:right="1019"/>
              <w:rPr>
                <w:rFonts w:eastAsia="Times New Roman"/>
                <w:b/>
                <w:spacing w:val="4"/>
                <w:w w:val="103"/>
                <w:kern w:val="14"/>
                <w:sz w:val="28"/>
                <w:szCs w:val="28"/>
                <w:lang w:val="en-GB" w:eastAsia="en-US"/>
              </w:rPr>
            </w:pPr>
            <w:r w:rsidRPr="003D6707">
              <w:rPr>
                <w:rFonts w:eastAsia="Times New Roman"/>
                <w:b/>
                <w:spacing w:val="4"/>
                <w:w w:val="103"/>
                <w:kern w:val="14"/>
                <w:sz w:val="28"/>
                <w:szCs w:val="28"/>
                <w:lang w:val="en-GB" w:eastAsia="en-US"/>
              </w:rPr>
              <w:t>forensic capabilities</w:t>
            </w:r>
          </w:p>
        </w:tc>
      </w:tr>
    </w:tbl>
    <w:p w:rsidR="003D6707" w:rsidRPr="00DB07F7" w:rsidRDefault="003D6707" w:rsidP="003D6707">
      <w:pPr>
        <w:framePr w:w="10890" w:h="1003" w:hSpace="180" w:wrap="around" w:vAnchor="text" w:hAnchor="page" w:x="658" w:y="596"/>
        <w:pBdr>
          <w:top w:val="single" w:sz="6" w:space="1" w:color="auto"/>
          <w:left w:val="single" w:sz="6" w:space="1" w:color="auto"/>
          <w:bottom w:val="single" w:sz="6" w:space="1" w:color="auto"/>
          <w:right w:val="single" w:sz="6" w:space="1" w:color="auto"/>
        </w:pBdr>
        <w:jc w:val="both"/>
        <w:rPr>
          <w:lang w:val="en-GB"/>
        </w:rPr>
      </w:pPr>
      <w:r w:rsidRPr="003D6707">
        <w:rPr>
          <w:lang w:val="en-GB"/>
        </w:rPr>
        <w:t>Governments of the region should ensure that their law enforcement authorities are aware of the importance of forensic science in the context of drug investigations, and that they are trained in the gathering, preservation and presentation of forensic evidence and in maintaining the chain of custody of exhibits, in order to carry through prosecutions against offenders successfully</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D6707">
              <w:rPr>
                <w:rFonts w:eastAsia="Times New Roman"/>
                <w:b/>
                <w:spacing w:val="4"/>
                <w:w w:val="103"/>
                <w:kern w:val="14"/>
                <w:lang w:val="en-GB" w:eastAsia="en-US"/>
              </w:rPr>
              <w:t>8</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3D6707">
              <w:rPr>
                <w:rFonts w:eastAsia="Times New Roman"/>
                <w:b/>
                <w:spacing w:val="4"/>
                <w:w w:val="103"/>
                <w:kern w:val="14"/>
                <w:lang w:val="en-GB" w:eastAsia="en-US"/>
              </w:rPr>
              <w:t>9</w:t>
            </w:r>
          </w:p>
        </w:tc>
      </w:tr>
    </w:tbl>
    <w:p w:rsidR="00955E9A" w:rsidRPr="00DB07F7" w:rsidRDefault="003D6707" w:rsidP="00F36455">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3D6707">
        <w:rPr>
          <w:lang w:val="en-GB"/>
        </w:rPr>
        <w:t>Governments must take steps to ensure that forensic science services, which support the front-line work of drug enforcement agencies, prosecution services and the judiciary in the investigation and prosecution of offenders, are adequately trained, funded and equipped to perform their tasks</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55E9A" w:rsidRPr="00BD0DE6" w:rsidRDefault="00955E9A" w:rsidP="00955E9A">
      <w:pPr>
        <w:rPr>
          <w:b/>
          <w:lang w:val="en-GB"/>
        </w:rPr>
      </w:pPr>
    </w:p>
    <w:p w:rsidR="00F36455" w:rsidRDefault="00F364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3D670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3D6707">
              <w:rPr>
                <w:rFonts w:eastAsia="Times New Roman"/>
                <w:b/>
                <w:spacing w:val="4"/>
                <w:w w:val="103"/>
                <w:kern w:val="14"/>
                <w:lang w:val="en-GB" w:eastAsia="en-US"/>
              </w:rPr>
              <w:t>10</w:t>
            </w:r>
          </w:p>
        </w:tc>
      </w:tr>
    </w:tbl>
    <w:p w:rsidR="00955E9A" w:rsidRPr="00DB07F7" w:rsidRDefault="003D6707"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3D6707">
        <w:rPr>
          <w:lang w:val="en-GB"/>
        </w:rPr>
        <w:t xml:space="preserve">Governments are encouraged to review </w:t>
      </w:r>
      <w:r w:rsidRPr="003D6707">
        <w:rPr>
          <w:i/>
          <w:lang w:val="en-GB"/>
        </w:rPr>
        <w:t>Minimum Requirements for Identification of Seized Drugs, a Document for Emerging Laboratories</w:t>
      </w:r>
      <w:r w:rsidRPr="003D6707">
        <w:rPr>
          <w:lang w:val="en-GB"/>
        </w:rPr>
        <w:t>, published by the International Forensic Strategic Alliance in collaboration with UNODC and the International Criminal Police Organization (INTERPOL), with a view to guiding their progress towards meeting the global standards for forensic laboratory accreditation by 2025</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4002FA" w:rsidRDefault="004002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002FA" w:rsidTr="00854DF0">
        <w:trPr>
          <w:trHeight w:val="567"/>
        </w:trPr>
        <w:tc>
          <w:tcPr>
            <w:tcW w:w="11016" w:type="dxa"/>
            <w:vAlign w:val="center"/>
          </w:tcPr>
          <w:p w:rsidR="004002FA" w:rsidRPr="00F36455" w:rsidRDefault="004002FA" w:rsidP="004002F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11</w:t>
            </w:r>
          </w:p>
        </w:tc>
      </w:tr>
    </w:tbl>
    <w:p w:rsidR="004002FA" w:rsidRPr="00DB07F7" w:rsidRDefault="004002FA" w:rsidP="004002F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4002FA">
        <w:rPr>
          <w:lang w:val="en-GB"/>
        </w:rPr>
        <w:t>Governments are encouraged to ensure that their regulations for the destruction of narcotic drugs and psychotropic substances are carried out in a timely manner and in accordance with their legal provisions</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p>
          <w:p w:rsidR="004002FA" w:rsidRDefault="004002FA" w:rsidP="00854DF0">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p>
        </w:tc>
      </w:tr>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4002FA" w:rsidRDefault="004002FA" w:rsidP="004002F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02FA" w:rsidRDefault="004002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Default="00955E9A" w:rsidP="00955E9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r w:rsidR="004002FA">
              <w:rPr>
                <w:rFonts w:eastAsia="Times New Roman"/>
                <w:b/>
                <w:spacing w:val="4"/>
                <w:w w:val="103"/>
                <w:kern w:val="14"/>
                <w:lang w:val="en-GB" w:eastAsia="en-US"/>
              </w:rPr>
              <w:t>2</w:t>
            </w:r>
          </w:p>
          <w:p w:rsidR="00F36455" w:rsidRPr="00F36455" w:rsidRDefault="00F36455" w:rsidP="00955E9A">
            <w:pPr>
              <w:widowControl w:val="0"/>
              <w:suppressAutoHyphens/>
              <w:spacing w:line="240" w:lineRule="exact"/>
              <w:ind w:right="1019"/>
              <w:rPr>
                <w:rFonts w:eastAsia="Times New Roman"/>
                <w:b/>
                <w:spacing w:val="4"/>
                <w:w w:val="103"/>
                <w:kern w:val="14"/>
                <w:lang w:val="en-GB" w:eastAsia="en-US"/>
              </w:rPr>
            </w:pPr>
          </w:p>
        </w:tc>
      </w:tr>
    </w:tbl>
    <w:p w:rsidR="00955E9A" w:rsidRDefault="00D000E2"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rsidRPr="00D000E2">
        <w:rPr>
          <w:lang w:val="en-GB"/>
        </w:rPr>
        <w:t>Governments should formulate and/or harmonize legislation both in the region and within countries</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Pr="00955E9A" w:rsidRDefault="00955E9A" w:rsidP="00955E9A">
            <w:pPr>
              <w:widowControl w:val="0"/>
              <w:suppressAutoHyphens/>
              <w:spacing w:line="240" w:lineRule="exact"/>
              <w:ind w:right="1019"/>
              <w:jc w:val="both"/>
              <w:rPr>
                <w:rFonts w:eastAsia="Times New Roman"/>
                <w:spacing w:val="4"/>
                <w:w w:val="103"/>
                <w:kern w:val="14"/>
                <w:lang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955E9A" w:rsidRDefault="00955E9A"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D000E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r w:rsidR="00D000E2">
              <w:rPr>
                <w:rFonts w:eastAsia="Times New Roman"/>
                <w:b/>
                <w:spacing w:val="4"/>
                <w:w w:val="103"/>
                <w:kern w:val="14"/>
                <w:lang w:val="en-GB" w:eastAsia="en-US"/>
              </w:rPr>
              <w:t>3</w:t>
            </w:r>
          </w:p>
        </w:tc>
      </w:tr>
    </w:tbl>
    <w:p w:rsidR="00955E9A" w:rsidRDefault="00D000E2"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rsidRPr="00D000E2">
        <w:rPr>
          <w:lang w:val="en-GB"/>
        </w:rPr>
        <w:t>Governments should adopt and improve legal texts that pertain to the repatriation of capital associated with the drug trade</w:t>
      </w:r>
      <w:r w:rsidR="00955E9A" w:rsidRP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Pr="00955E9A" w:rsidRDefault="00955E9A" w:rsidP="00955E9A">
            <w:pPr>
              <w:widowControl w:val="0"/>
              <w:suppressAutoHyphens/>
              <w:spacing w:line="240" w:lineRule="exact"/>
              <w:ind w:right="1019"/>
              <w:jc w:val="both"/>
              <w:rPr>
                <w:rFonts w:eastAsia="Times New Roman"/>
                <w:spacing w:val="4"/>
                <w:w w:val="103"/>
                <w:kern w:val="14"/>
                <w:lang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955E9A" w:rsidRDefault="00955E9A"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000E2" w:rsidTr="00854DF0">
        <w:trPr>
          <w:trHeight w:val="567"/>
        </w:trPr>
        <w:tc>
          <w:tcPr>
            <w:tcW w:w="11016" w:type="dxa"/>
            <w:vAlign w:val="center"/>
          </w:tcPr>
          <w:p w:rsidR="00D000E2" w:rsidRPr="00F36455" w:rsidRDefault="00D000E2" w:rsidP="00D000E2">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r>
              <w:rPr>
                <w:rFonts w:eastAsia="Times New Roman"/>
                <w:b/>
                <w:spacing w:val="4"/>
                <w:w w:val="103"/>
                <w:kern w:val="14"/>
                <w:lang w:val="en-GB" w:eastAsia="en-US"/>
              </w:rPr>
              <w:t>4</w:t>
            </w:r>
          </w:p>
        </w:tc>
      </w:tr>
    </w:tbl>
    <w:p w:rsidR="00D000E2" w:rsidRDefault="00D000E2" w:rsidP="00D000E2">
      <w:pPr>
        <w:framePr w:w="10890" w:h="1701" w:hSpace="180" w:wrap="around" w:vAnchor="text" w:hAnchor="page" w:x="674" w:y="1"/>
        <w:pBdr>
          <w:top w:val="single" w:sz="6" w:space="1" w:color="auto"/>
          <w:left w:val="single" w:sz="6" w:space="1" w:color="auto"/>
          <w:bottom w:val="single" w:sz="6" w:space="1" w:color="auto"/>
          <w:right w:val="single" w:sz="6" w:space="1" w:color="auto"/>
        </w:pBdr>
      </w:pPr>
      <w:r w:rsidRPr="00D000E2">
        <w:rPr>
          <w:lang w:val="en-GB"/>
        </w:rPr>
        <w:t xml:space="preserve">In the absence of harmonized legislation, Governments should be encouraged to make effective use of existing </w:t>
      </w:r>
      <w:proofErr w:type="spellStart"/>
      <w:r w:rsidRPr="00D000E2">
        <w:rPr>
          <w:lang w:val="en-GB"/>
        </w:rPr>
        <w:t>subregional</w:t>
      </w:r>
      <w:proofErr w:type="spellEnd"/>
      <w:r w:rsidRPr="00D000E2">
        <w:rPr>
          <w:lang w:val="en-GB"/>
        </w:rPr>
        <w:t xml:space="preserve"> and regional cooperation protocols that address judicial challenges posed by drug trafficking and related offences</w:t>
      </w:r>
      <w:r w:rsidRP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000E2" w:rsidTr="00854DF0">
        <w:tc>
          <w:tcPr>
            <w:tcW w:w="11016" w:type="dxa"/>
          </w:tcPr>
          <w:p w:rsidR="00D000E2" w:rsidRPr="00955E9A" w:rsidRDefault="00D000E2" w:rsidP="00854DF0">
            <w:pPr>
              <w:widowControl w:val="0"/>
              <w:suppressAutoHyphens/>
              <w:spacing w:line="240" w:lineRule="exact"/>
              <w:ind w:right="1019"/>
              <w:jc w:val="both"/>
              <w:rPr>
                <w:rFonts w:eastAsia="Times New Roman"/>
                <w:spacing w:val="4"/>
                <w:w w:val="103"/>
                <w:kern w:val="14"/>
                <w:lang w:eastAsia="en-US"/>
              </w:rPr>
            </w:pPr>
          </w:p>
          <w:p w:rsidR="00D000E2" w:rsidRDefault="00D000E2" w:rsidP="00854DF0">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A744B">
              <w:rPr>
                <w:rFonts w:eastAsia="Times New Roman"/>
                <w:spacing w:val="4"/>
                <w:w w:val="103"/>
                <w:kern w:val="14"/>
                <w:lang w:val="en-GB" w:eastAsia="en-US"/>
              </w:rPr>
            </w:r>
            <w:r w:rsidR="008A744B">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D000E2" w:rsidTr="00854DF0">
        <w:tc>
          <w:tcPr>
            <w:tcW w:w="11016" w:type="dxa"/>
          </w:tcPr>
          <w:p w:rsidR="00D000E2" w:rsidRDefault="00D000E2" w:rsidP="00854DF0">
            <w:pPr>
              <w:widowControl w:val="0"/>
              <w:suppressAutoHyphens/>
              <w:spacing w:line="240" w:lineRule="exact"/>
              <w:ind w:right="1019"/>
              <w:jc w:val="both"/>
              <w:rPr>
                <w:rFonts w:eastAsia="Times New Roman"/>
                <w:spacing w:val="4"/>
                <w:w w:val="103"/>
                <w:kern w:val="14"/>
                <w:lang w:val="en-GB" w:eastAsia="en-US"/>
              </w:rPr>
            </w:pPr>
          </w:p>
        </w:tc>
      </w:tr>
      <w:tr w:rsidR="00D000E2" w:rsidTr="00854DF0">
        <w:tc>
          <w:tcPr>
            <w:tcW w:w="11016" w:type="dxa"/>
          </w:tcPr>
          <w:p w:rsidR="00D000E2" w:rsidRDefault="00D000E2" w:rsidP="00854DF0">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D000E2" w:rsidRDefault="00D000E2" w:rsidP="00D000E2">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00E2" w:rsidRDefault="00D000E2" w:rsidP="00C8710B">
      <w:pPr>
        <w:rPr>
          <w:b/>
          <w:lang w:val="en-GB"/>
        </w:rPr>
      </w:pPr>
    </w:p>
    <w:p w:rsidR="00D000E2" w:rsidRPr="00BD0DE6" w:rsidRDefault="00D000E2" w:rsidP="00C8710B">
      <w:pPr>
        <w:rPr>
          <w:b/>
          <w:lang w:val="en-GB"/>
        </w:rPr>
      </w:pPr>
    </w:p>
    <w:sectPr w:rsidR="00D000E2" w:rsidRPr="00BD0DE6" w:rsidSect="009D1DF9">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25"/>
      <w:gridCol w:w="5846"/>
    </w:tblGrid>
    <w:tr w:rsidR="009D1DF9" w:rsidRPr="009D1DF9" w:rsidTr="009D1DF9">
      <w:tc>
        <w:tcPr>
          <w:tcW w:w="5125" w:type="dxa"/>
        </w:tcPr>
        <w:p w:rsidR="009D1DF9" w:rsidRPr="009D1DF9" w:rsidRDefault="009D1DF9" w:rsidP="009D1DF9">
          <w:pPr>
            <w:tabs>
              <w:tab w:val="center" w:pos="4320"/>
              <w:tab w:val="right" w:pos="8640"/>
            </w:tabs>
            <w:rPr>
              <w:noProof/>
              <w:sz w:val="20"/>
              <w:szCs w:val="20"/>
              <w:lang w:eastAsia="en-US"/>
            </w:rPr>
          </w:pPr>
        </w:p>
        <w:p w:rsidR="009D1DF9" w:rsidRPr="009D1DF9" w:rsidRDefault="009D1DF9" w:rsidP="009D1DF9">
          <w:pPr>
            <w:tabs>
              <w:tab w:val="center" w:pos="4320"/>
              <w:tab w:val="right" w:pos="8640"/>
            </w:tabs>
            <w:rPr>
              <w:noProof/>
              <w:sz w:val="20"/>
              <w:szCs w:val="20"/>
              <w:lang w:eastAsia="en-US"/>
            </w:rPr>
          </w:pPr>
          <w:r w:rsidRPr="009D1DF9">
            <w:rPr>
              <w:noProof/>
              <w:sz w:val="20"/>
              <w:szCs w:val="20"/>
              <w:lang w:eastAsia="en-US"/>
            </w:rPr>
            <w:t xml:space="preserve">V.17-03030 (E)    </w:t>
          </w:r>
        </w:p>
      </w:tc>
      <w:tc>
        <w:tcPr>
          <w:tcW w:w="5846" w:type="dxa"/>
          <w:vMerge w:val="restart"/>
        </w:tcPr>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rPr>
              <w:b/>
              <w:noProof/>
              <w:sz w:val="17"/>
              <w:szCs w:val="20"/>
              <w:lang w:eastAsia="en-US"/>
            </w:rPr>
          </w:pPr>
        </w:p>
        <w:p w:rsidR="009D1DF9" w:rsidRPr="009D1DF9" w:rsidRDefault="009D1DF9" w:rsidP="009D1DF9">
          <w:pPr>
            <w:tabs>
              <w:tab w:val="center" w:pos="4320"/>
              <w:tab w:val="right" w:pos="8640"/>
            </w:tabs>
            <w:jc w:val="right"/>
            <w:rPr>
              <w:b/>
              <w:noProof/>
              <w:sz w:val="17"/>
              <w:szCs w:val="20"/>
              <w:lang w:eastAsia="en-US"/>
            </w:rPr>
          </w:pPr>
          <w:r w:rsidRPr="009D1DF9">
            <w:rPr>
              <w:b/>
              <w:noProof/>
              <w:sz w:val="17"/>
              <w:szCs w:val="20"/>
              <w:lang w:val="en-GB" w:eastAsia="en-GB"/>
            </w:rPr>
            <w:drawing>
              <wp:inline distT="0" distB="0" distL="0" distR="0" wp14:anchorId="34628089" wp14:editId="41E9E5E1">
                <wp:extent cx="932400" cy="2340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2400" cy="234000"/>
                        </a:xfrm>
                        <a:prstGeom prst="rect">
                          <a:avLst/>
                        </a:prstGeom>
                      </pic:spPr>
                    </pic:pic>
                  </a:graphicData>
                </a:graphic>
              </wp:inline>
            </w:drawing>
          </w:r>
        </w:p>
      </w:tc>
    </w:tr>
    <w:tr w:rsidR="009D1DF9" w:rsidRPr="009D1DF9" w:rsidTr="009D1DF9">
      <w:tc>
        <w:tcPr>
          <w:tcW w:w="5125" w:type="dxa"/>
        </w:tcPr>
        <w:p w:rsidR="009D1DF9" w:rsidRPr="009D1DF9" w:rsidRDefault="009D1DF9" w:rsidP="009D1DF9">
          <w:pPr>
            <w:tabs>
              <w:tab w:val="center" w:pos="4320"/>
              <w:tab w:val="right" w:pos="8640"/>
            </w:tabs>
            <w:spacing w:before="120"/>
            <w:rPr>
              <w:rFonts w:ascii="Barcode 3 of 9 by request" w:hAnsi="Barcode 3 of 9 by request"/>
              <w:b/>
              <w:i/>
              <w:noProof/>
              <w:spacing w:val="4"/>
              <w:szCs w:val="20"/>
              <w:lang w:eastAsia="en-US"/>
            </w:rPr>
          </w:pPr>
          <w:r w:rsidRPr="009D1DF9">
            <w:rPr>
              <w:rFonts w:ascii="Barcode 3 of 9 by request" w:hAnsi="Barcode 3 of 9 by request"/>
              <w:b/>
              <w:i/>
              <w:noProof/>
              <w:spacing w:val="4"/>
              <w:szCs w:val="20"/>
              <w:lang w:eastAsia="en-US"/>
            </w:rPr>
            <w:t>*1703030*</w:t>
          </w:r>
        </w:p>
      </w:tc>
      <w:tc>
        <w:tcPr>
          <w:tcW w:w="5846" w:type="dxa"/>
          <w:vMerge/>
        </w:tcPr>
        <w:p w:rsidR="009D1DF9" w:rsidRPr="009D1DF9" w:rsidRDefault="009D1DF9" w:rsidP="009D1DF9">
          <w:pPr>
            <w:tabs>
              <w:tab w:val="center" w:pos="4320"/>
              <w:tab w:val="right" w:pos="8640"/>
            </w:tabs>
            <w:rPr>
              <w:b/>
              <w:noProof/>
              <w:sz w:val="17"/>
              <w:szCs w:val="20"/>
              <w:lang w:eastAsia="en-US"/>
            </w:rPr>
          </w:pPr>
        </w:p>
      </w:tc>
    </w:tr>
  </w:tbl>
  <w:p w:rsidR="00F36455" w:rsidRPr="00C6590F" w:rsidRDefault="00F36455" w:rsidP="00C6590F">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44288321"/>
      <w:docPartObj>
        <w:docPartGallery w:val="Page Numbers (Bottom of Page)"/>
        <w:docPartUnique/>
      </w:docPartObj>
    </w:sdtPr>
    <w:sdtEndPr>
      <w:rPr>
        <w:noProof/>
      </w:rPr>
    </w:sdtEndPr>
    <w:sdtContent>
      <w:p w:rsidR="009D1DF9" w:rsidRPr="00C6590F" w:rsidRDefault="009D1DF9">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8A744B">
          <w:rPr>
            <w:noProof/>
            <w:sz w:val="20"/>
            <w:szCs w:val="20"/>
          </w:rPr>
          <w:t>2</w:t>
        </w:r>
        <w:r w:rsidRPr="00C6590F">
          <w:rPr>
            <w:noProof/>
            <w:sz w:val="20"/>
            <w:szCs w:val="20"/>
          </w:rPr>
          <w:fldChar w:fldCharType="end"/>
        </w:r>
      </w:p>
    </w:sdtContent>
  </w:sdt>
  <w:p w:rsidR="009D1DF9" w:rsidRPr="00C6590F" w:rsidRDefault="009D1DF9" w:rsidP="00C6590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12"/>
    <w:rsid w:val="00066179"/>
    <w:rsid w:val="001C54D5"/>
    <w:rsid w:val="001E349E"/>
    <w:rsid w:val="00280D62"/>
    <w:rsid w:val="002972FC"/>
    <w:rsid w:val="003D6707"/>
    <w:rsid w:val="003E6972"/>
    <w:rsid w:val="003F7954"/>
    <w:rsid w:val="004002FA"/>
    <w:rsid w:val="00436808"/>
    <w:rsid w:val="00485C82"/>
    <w:rsid w:val="004C4C56"/>
    <w:rsid w:val="00723925"/>
    <w:rsid w:val="00730028"/>
    <w:rsid w:val="00782AE3"/>
    <w:rsid w:val="007D0EE8"/>
    <w:rsid w:val="008249DA"/>
    <w:rsid w:val="008A744B"/>
    <w:rsid w:val="00955E9A"/>
    <w:rsid w:val="00997F3B"/>
    <w:rsid w:val="009D1DF9"/>
    <w:rsid w:val="00A37E80"/>
    <w:rsid w:val="00A73E41"/>
    <w:rsid w:val="00B2495A"/>
    <w:rsid w:val="00BB0354"/>
    <w:rsid w:val="00BD0DE6"/>
    <w:rsid w:val="00C265D6"/>
    <w:rsid w:val="00C6590F"/>
    <w:rsid w:val="00C8710B"/>
    <w:rsid w:val="00CC6B54"/>
    <w:rsid w:val="00D000E2"/>
    <w:rsid w:val="00D925F4"/>
    <w:rsid w:val="00DA2C12"/>
    <w:rsid w:val="00DB07F7"/>
    <w:rsid w:val="00E04B90"/>
    <w:rsid w:val="00F36455"/>
    <w:rsid w:val="00FD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simone.rupprich@unodc.org"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681A-67F1-42C5-A78C-BC7F57A7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942</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Simone Rupprich</cp:lastModifiedBy>
  <cp:revision>4</cp:revision>
  <cp:lastPrinted>2017-04-19T09:29:00Z</cp:lastPrinted>
  <dcterms:created xsi:type="dcterms:W3CDTF">2017-05-16T14:30:00Z</dcterms:created>
  <dcterms:modified xsi:type="dcterms:W3CDTF">2017-05-17T08:08:00Z</dcterms:modified>
</cp:coreProperties>
</file>