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28" w:rsidRDefault="00A23B28" w:rsidP="00C279B4">
      <w:pPr>
        <w:pStyle w:val="SingleTxt"/>
        <w:spacing w:line="420" w:lineRule="exact"/>
        <w:ind w:left="0" w:right="0"/>
        <w:jc w:val="center"/>
        <w:rPr>
          <w:b/>
          <w:bCs/>
          <w:noProof w:val="0"/>
          <w:sz w:val="42"/>
          <w:szCs w:val="40"/>
          <w:lang w:bidi="ar-EG"/>
        </w:rPr>
      </w:pPr>
      <w:bookmarkStart w:id="0" w:name="_GoBack"/>
      <w:bookmarkEnd w:id="0"/>
      <w:r w:rsidRPr="00AE3784">
        <w:rPr>
          <w:rFonts w:hint="cs"/>
          <w:b/>
          <w:bCs/>
          <w:noProof w:val="0"/>
          <w:sz w:val="42"/>
          <w:szCs w:val="40"/>
          <w:rtl/>
          <w:lang w:bidi="ar-EG"/>
        </w:rPr>
        <w:t xml:space="preserve">تنفيذ التوصيات التي اعتمدتها الدورة </w:t>
      </w:r>
      <w:r w:rsidR="00C279B4">
        <w:rPr>
          <w:rFonts w:hint="cs"/>
          <w:b/>
          <w:bCs/>
          <w:noProof w:val="0"/>
          <w:sz w:val="42"/>
          <w:szCs w:val="40"/>
          <w:rtl/>
          <w:lang w:bidi="ar-EG"/>
        </w:rPr>
        <w:t>الحادية و</w:t>
      </w:r>
      <w:r w:rsidR="00B2443D">
        <w:rPr>
          <w:rFonts w:hint="cs"/>
          <w:b/>
          <w:bCs/>
          <w:noProof w:val="0"/>
          <w:sz w:val="42"/>
          <w:szCs w:val="40"/>
          <w:rtl/>
        </w:rPr>
        <w:t>الخمس</w:t>
      </w:r>
      <w:r w:rsidR="00531732">
        <w:rPr>
          <w:rFonts w:hint="cs"/>
          <w:b/>
          <w:bCs/>
          <w:noProof w:val="0"/>
          <w:sz w:val="42"/>
          <w:szCs w:val="40"/>
          <w:rtl/>
        </w:rPr>
        <w:t>و</w:t>
      </w:r>
      <w:r w:rsidR="00B2443D">
        <w:rPr>
          <w:rFonts w:hint="cs"/>
          <w:b/>
          <w:bCs/>
          <w:noProof w:val="0"/>
          <w:sz w:val="42"/>
          <w:szCs w:val="40"/>
          <w:rtl/>
        </w:rPr>
        <w:t>ن</w:t>
      </w:r>
      <w:r w:rsidRPr="00AE3784">
        <w:rPr>
          <w:rFonts w:hint="cs"/>
          <w:b/>
          <w:bCs/>
          <w:noProof w:val="0"/>
          <w:sz w:val="42"/>
          <w:szCs w:val="40"/>
          <w:rtl/>
          <w:lang w:bidi="ar-EG"/>
        </w:rPr>
        <w:t xml:space="preserve"> </w:t>
      </w:r>
      <w:r w:rsidR="007E5187" w:rsidRPr="00AE3784">
        <w:rPr>
          <w:b/>
          <w:bCs/>
          <w:noProof w:val="0"/>
          <w:sz w:val="42"/>
          <w:szCs w:val="40"/>
          <w:rtl/>
          <w:lang w:bidi="ar-EG"/>
        </w:rPr>
        <w:br/>
      </w:r>
      <w:r w:rsidR="0004094D" w:rsidRPr="00AE3784">
        <w:rPr>
          <w:b/>
          <w:bCs/>
          <w:noProof w:val="0"/>
          <w:sz w:val="42"/>
          <w:szCs w:val="40"/>
          <w:rtl/>
          <w:lang w:bidi="ar-EG"/>
        </w:rPr>
        <w:t>للجنة الفرعية المعنية بالاتجار غير المشروع بال</w:t>
      </w:r>
      <w:r w:rsidR="00AA6C4C">
        <w:rPr>
          <w:b/>
          <w:bCs/>
          <w:noProof w:val="0"/>
          <w:sz w:val="42"/>
          <w:szCs w:val="40"/>
          <w:rtl/>
          <w:lang w:bidi="ar-EG"/>
        </w:rPr>
        <w:t>مخدِّرات</w:t>
      </w:r>
      <w:r w:rsidR="0004094D" w:rsidRPr="00AE3784">
        <w:rPr>
          <w:b/>
          <w:bCs/>
          <w:noProof w:val="0"/>
          <w:sz w:val="42"/>
          <w:szCs w:val="40"/>
          <w:rtl/>
          <w:lang w:bidi="ar-EG"/>
        </w:rPr>
        <w:t xml:space="preserve"> </w:t>
      </w:r>
      <w:r w:rsidR="00AE3784" w:rsidRPr="00AE3784">
        <w:rPr>
          <w:rFonts w:hint="cs"/>
          <w:b/>
          <w:bCs/>
          <w:noProof w:val="0"/>
          <w:sz w:val="42"/>
          <w:szCs w:val="40"/>
          <w:rtl/>
          <w:lang w:bidi="ar-EG"/>
        </w:rPr>
        <w:br/>
      </w:r>
      <w:r w:rsidR="0004094D" w:rsidRPr="00AE3784">
        <w:rPr>
          <w:b/>
          <w:bCs/>
          <w:noProof w:val="0"/>
          <w:sz w:val="42"/>
          <w:szCs w:val="40"/>
          <w:rtl/>
          <w:lang w:bidi="ar-EG"/>
        </w:rPr>
        <w:t>والمسائل ذات الصلة في الشرقين الأدنى والأوسط</w:t>
      </w:r>
      <w:r w:rsidR="00684CDA" w:rsidRPr="00AE3784">
        <w:rPr>
          <w:rFonts w:hint="cs"/>
          <w:b/>
          <w:bCs/>
          <w:noProof w:val="0"/>
          <w:sz w:val="42"/>
          <w:szCs w:val="40"/>
          <w:rtl/>
          <w:lang w:bidi="ar-EG"/>
        </w:rPr>
        <w:t>،</w:t>
      </w:r>
      <w:r w:rsidR="00684CDA" w:rsidRPr="00AE3784">
        <w:rPr>
          <w:rFonts w:hint="cs"/>
          <w:b/>
          <w:bCs/>
          <w:noProof w:val="0"/>
          <w:sz w:val="42"/>
          <w:szCs w:val="40"/>
          <w:rtl/>
          <w:lang w:bidi="ar-EG"/>
        </w:rPr>
        <w:br/>
      </w:r>
      <w:r w:rsidR="005D05F1">
        <w:rPr>
          <w:rFonts w:hint="cs"/>
          <w:b/>
          <w:bCs/>
          <w:noProof w:val="0"/>
          <w:sz w:val="42"/>
          <w:szCs w:val="40"/>
          <w:rtl/>
          <w:lang w:bidi="ar-EG"/>
        </w:rPr>
        <w:t>التي عُقدت</w:t>
      </w:r>
      <w:r w:rsidR="00684CDA" w:rsidRPr="00AE3784">
        <w:rPr>
          <w:rFonts w:hint="cs"/>
          <w:b/>
          <w:bCs/>
          <w:noProof w:val="0"/>
          <w:sz w:val="42"/>
          <w:szCs w:val="40"/>
          <w:rtl/>
          <w:lang w:bidi="ar-EG"/>
        </w:rPr>
        <w:t xml:space="preserve"> في </w:t>
      </w:r>
      <w:r w:rsidR="00C279B4">
        <w:rPr>
          <w:rFonts w:hint="cs"/>
          <w:b/>
          <w:bCs/>
          <w:noProof w:val="0"/>
          <w:sz w:val="42"/>
          <w:szCs w:val="40"/>
          <w:rtl/>
          <w:lang w:bidi="ar-EG"/>
        </w:rPr>
        <w:t>الرياض</w:t>
      </w:r>
      <w:r w:rsidR="00684CDA" w:rsidRPr="00AE3784">
        <w:rPr>
          <w:rFonts w:hint="cs"/>
          <w:b/>
          <w:bCs/>
          <w:noProof w:val="0"/>
          <w:sz w:val="42"/>
          <w:szCs w:val="40"/>
          <w:rtl/>
          <w:lang w:bidi="ar-EG"/>
        </w:rPr>
        <w:t xml:space="preserve">، من </w:t>
      </w:r>
      <w:r w:rsidR="00C279B4">
        <w:rPr>
          <w:rFonts w:hint="cs"/>
          <w:b/>
          <w:bCs/>
          <w:noProof w:val="0"/>
          <w:sz w:val="42"/>
          <w:szCs w:val="40"/>
          <w:rtl/>
          <w:lang w:bidi="ar-EG"/>
        </w:rPr>
        <w:t>20</w:t>
      </w:r>
      <w:r w:rsidR="0004094D" w:rsidRPr="00AE3784">
        <w:rPr>
          <w:rFonts w:hint="cs"/>
          <w:b/>
          <w:bCs/>
          <w:noProof w:val="0"/>
          <w:sz w:val="42"/>
          <w:szCs w:val="40"/>
          <w:rtl/>
          <w:lang w:bidi="ar-EG"/>
        </w:rPr>
        <w:t xml:space="preserve"> </w:t>
      </w:r>
      <w:r w:rsidR="00684CDA" w:rsidRPr="00AE3784">
        <w:rPr>
          <w:rFonts w:hint="cs"/>
          <w:b/>
          <w:bCs/>
          <w:noProof w:val="0"/>
          <w:sz w:val="42"/>
          <w:szCs w:val="40"/>
          <w:rtl/>
          <w:lang w:bidi="ar-EG"/>
        </w:rPr>
        <w:t xml:space="preserve">إلى </w:t>
      </w:r>
      <w:r w:rsidR="00C279B4">
        <w:rPr>
          <w:rFonts w:hint="cs"/>
          <w:b/>
          <w:bCs/>
          <w:noProof w:val="0"/>
          <w:sz w:val="42"/>
          <w:szCs w:val="40"/>
          <w:rtl/>
          <w:lang w:bidi="ar-EG"/>
        </w:rPr>
        <w:t>24</w:t>
      </w:r>
      <w:r w:rsidR="00425CA5" w:rsidRPr="00AE3784">
        <w:rPr>
          <w:rFonts w:hint="cs"/>
          <w:b/>
          <w:bCs/>
          <w:noProof w:val="0"/>
          <w:sz w:val="42"/>
          <w:szCs w:val="40"/>
          <w:rtl/>
          <w:lang w:bidi="ar-EG"/>
        </w:rPr>
        <w:t xml:space="preserve"> </w:t>
      </w:r>
      <w:r w:rsidR="0004094D" w:rsidRPr="00AE3784">
        <w:rPr>
          <w:rFonts w:hint="cs"/>
          <w:b/>
          <w:bCs/>
          <w:noProof w:val="0"/>
          <w:sz w:val="42"/>
          <w:szCs w:val="40"/>
          <w:rtl/>
          <w:lang w:bidi="ar-EG"/>
        </w:rPr>
        <w:t xml:space="preserve">تشرين الثاني/نوفمبر </w:t>
      </w:r>
      <w:r w:rsidR="00DE57E0">
        <w:rPr>
          <w:rFonts w:hint="cs"/>
          <w:b/>
          <w:bCs/>
          <w:noProof w:val="0"/>
          <w:sz w:val="42"/>
          <w:szCs w:val="40"/>
          <w:rtl/>
          <w:lang w:bidi="ar-EG"/>
        </w:rPr>
        <w:t>201</w:t>
      </w:r>
      <w:r w:rsidR="00C279B4">
        <w:rPr>
          <w:rFonts w:hint="cs"/>
          <w:b/>
          <w:bCs/>
          <w:noProof w:val="0"/>
          <w:sz w:val="42"/>
          <w:szCs w:val="40"/>
          <w:rtl/>
          <w:lang w:bidi="ar-EG"/>
        </w:rPr>
        <w:t>6</w:t>
      </w:r>
    </w:p>
    <w:p w:rsidR="004C6BFD" w:rsidRPr="0013395B" w:rsidRDefault="004C6BFD" w:rsidP="002E5D00">
      <w:pPr>
        <w:pStyle w:val="SingleTxt"/>
        <w:ind w:left="0" w:right="0"/>
        <w:jc w:val="center"/>
        <w:rPr>
          <w:b/>
          <w:bCs/>
          <w:noProof w:val="0"/>
          <w:sz w:val="44"/>
          <w:szCs w:val="44"/>
          <w:rtl/>
        </w:rPr>
      </w:pPr>
      <w:r w:rsidRPr="0013395B">
        <w:rPr>
          <w:rFonts w:hint="cs"/>
          <w:b/>
          <w:bCs/>
          <w:noProof w:val="0"/>
          <w:sz w:val="44"/>
          <w:szCs w:val="44"/>
          <w:rtl/>
        </w:rPr>
        <w:t>استبيان</w:t>
      </w:r>
    </w:p>
    <w:tbl>
      <w:tblPr>
        <w:tblStyle w:val="TableGrid"/>
        <w:bidiVisual/>
        <w:tblW w:w="0" w:type="auto"/>
        <w:jc w:val="center"/>
        <w:tblBorders>
          <w:top w:val="none" w:sz="0" w:space="0" w:color="auto"/>
          <w:left w:val="none" w:sz="0" w:space="0" w:color="auto"/>
          <w:bottom w:val="none" w:sz="0" w:space="0" w:color="auto"/>
          <w:right w:val="none" w:sz="0" w:space="0" w:color="auto"/>
        </w:tblBorders>
        <w:shd w:val="clear" w:color="auto" w:fill="F2F2F2" w:themeFill="background1" w:themeFillShade="F2"/>
        <w:tblLook w:val="04A0" w:firstRow="1" w:lastRow="0" w:firstColumn="1" w:lastColumn="0" w:noHBand="0" w:noVBand="1"/>
      </w:tblPr>
      <w:tblGrid>
        <w:gridCol w:w="2518"/>
        <w:gridCol w:w="2977"/>
        <w:gridCol w:w="3361"/>
      </w:tblGrid>
      <w:tr w:rsidR="005006CF" w:rsidRPr="00EC4DCA" w:rsidTr="005006CF">
        <w:trPr>
          <w:cantSplit/>
          <w:jc w:val="center"/>
        </w:trPr>
        <w:tc>
          <w:tcPr>
            <w:tcW w:w="8856" w:type="dxa"/>
            <w:gridSpan w:val="3"/>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834C65" w:rsidRDefault="005006CF" w:rsidP="00834C65">
            <w:pPr>
              <w:spacing w:before="120" w:after="120" w:line="240" w:lineRule="exact"/>
              <w:jc w:val="center"/>
              <w:rPr>
                <w:rFonts w:cs="Traditional Arabic"/>
                <w:bCs/>
                <w:sz w:val="28"/>
                <w:szCs w:val="34"/>
                <w:lang w:val="en-GB"/>
              </w:rPr>
            </w:pPr>
            <w:r w:rsidRPr="00EC4DCA">
              <w:rPr>
                <w:rFonts w:cs="Traditional Arabic" w:hint="cs"/>
                <w:bCs/>
                <w:sz w:val="28"/>
                <w:szCs w:val="34"/>
                <w:rtl/>
                <w:lang w:val="en-GB"/>
              </w:rPr>
              <w:t>معلومات عن تقديم الاستبيان</w:t>
            </w:r>
          </w:p>
        </w:tc>
      </w:tr>
      <w:tr w:rsidR="005006CF" w:rsidRPr="00EC4DCA" w:rsidTr="005006C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اسم البلد:</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2"/>
                  <w:enabled/>
                  <w:calcOnExit w:val="0"/>
                  <w:textInput/>
                </w:ffData>
              </w:fldChar>
            </w:r>
            <w:bookmarkStart w:id="1" w:name="Text2"/>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1"/>
          </w:p>
        </w:tc>
      </w:tr>
      <w:tr w:rsidR="005006CF" w:rsidRPr="00EC4DCA" w:rsidTr="005006C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تاريخ التقديم:</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3"/>
                  <w:enabled/>
                  <w:calcOnExit w:val="0"/>
                  <w:textInput/>
                </w:ffData>
              </w:fldChar>
            </w:r>
            <w:bookmarkStart w:id="2" w:name="Text3"/>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2"/>
          </w:p>
        </w:tc>
      </w:tr>
      <w:tr w:rsidR="005006CF" w:rsidRPr="00EC4DCA" w:rsidTr="005006C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5006CF" w:rsidRPr="00991278" w:rsidRDefault="005006CF" w:rsidP="00834C65">
            <w:pPr>
              <w:spacing w:before="120" w:after="120" w:line="240" w:lineRule="exact"/>
              <w:jc w:val="center"/>
              <w:rPr>
                <w:rFonts w:cs="Traditional Arabic"/>
                <w:bCs/>
                <w:sz w:val="28"/>
                <w:szCs w:val="34"/>
                <w:lang w:val="en-GB"/>
              </w:rPr>
            </w:pPr>
            <w:r w:rsidRPr="00991278">
              <w:rPr>
                <w:rFonts w:cs="Traditional Arabic" w:hint="cs"/>
                <w:bCs/>
                <w:sz w:val="28"/>
                <w:szCs w:val="34"/>
                <w:rtl/>
                <w:lang w:val="en-GB"/>
              </w:rPr>
              <w:t>معلومات لأغراض المتابعة</w:t>
            </w:r>
          </w:p>
        </w:tc>
      </w:tr>
      <w:tr w:rsidR="005006CF" w:rsidRPr="00EC4DCA" w:rsidTr="005006CF">
        <w:trPr>
          <w:cantSplit/>
          <w:jc w:val="center"/>
        </w:trPr>
        <w:tc>
          <w:tcPr>
            <w:tcW w:w="2518"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اسم مسؤول الاتصال:</w:t>
            </w:r>
          </w:p>
        </w:tc>
        <w:tc>
          <w:tcPr>
            <w:tcW w:w="6338" w:type="dxa"/>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240" w:after="240"/>
              <w:jc w:val="right"/>
              <w:rPr>
                <w:rFonts w:cs="Traditional Arabic"/>
                <w:bCs/>
                <w:szCs w:val="30"/>
                <w:lang w:val="en-GB"/>
              </w:rPr>
            </w:pPr>
            <w:r w:rsidRPr="00EC4DCA">
              <w:rPr>
                <w:rFonts w:cs="Traditional Arabic"/>
                <w:bCs/>
                <w:szCs w:val="30"/>
                <w:lang w:val="en-GB"/>
              </w:rPr>
              <w:fldChar w:fldCharType="begin">
                <w:ffData>
                  <w:name w:val="Text4"/>
                  <w:enabled/>
                  <w:calcOnExit w:val="0"/>
                  <w:textInput/>
                </w:ffData>
              </w:fldChar>
            </w:r>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اللقب الوظيفي والمنظمة:</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240" w:after="240"/>
              <w:jc w:val="right"/>
              <w:rPr>
                <w:rFonts w:cs="Traditional Arabic"/>
                <w:bCs/>
                <w:szCs w:val="30"/>
                <w:lang w:val="en-GB"/>
              </w:rPr>
            </w:pPr>
            <w:r w:rsidRPr="00EC4DCA">
              <w:rPr>
                <w:rFonts w:cs="Traditional Arabic"/>
                <w:bCs/>
                <w:szCs w:val="30"/>
                <w:lang w:val="en-GB"/>
              </w:rPr>
              <w:fldChar w:fldCharType="begin">
                <w:ffData>
                  <w:name w:val="Text4"/>
                  <w:enabled/>
                  <w:calcOnExit w:val="0"/>
                  <w:textInput/>
                </w:ffData>
              </w:fldChar>
            </w:r>
            <w:bookmarkStart w:id="3" w:name="Text4"/>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3"/>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العنوان:</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480" w:after="480"/>
              <w:jc w:val="right"/>
              <w:rPr>
                <w:rFonts w:cs="Traditional Arabic"/>
                <w:bCs/>
                <w:szCs w:val="30"/>
                <w:lang w:val="en-GB"/>
              </w:rPr>
            </w:pPr>
            <w:r w:rsidRPr="00EC4DCA">
              <w:rPr>
                <w:rFonts w:cs="Traditional Arabic"/>
                <w:bCs/>
                <w:szCs w:val="30"/>
                <w:lang w:val="en-GB"/>
              </w:rPr>
              <w:fldChar w:fldCharType="begin">
                <w:ffData>
                  <w:name w:val="Text5"/>
                  <w:enabled/>
                  <w:calcOnExit w:val="0"/>
                  <w:textInput/>
                </w:ffData>
              </w:fldChar>
            </w:r>
            <w:bookmarkStart w:id="4" w:name="Text5"/>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4"/>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رقم الهاتف:</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6"/>
                  <w:enabled/>
                  <w:calcOnExit w:val="0"/>
                  <w:textInput/>
                </w:ffData>
              </w:fldChar>
            </w:r>
            <w:bookmarkStart w:id="5" w:name="Text6"/>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5"/>
          </w:p>
        </w:tc>
      </w:tr>
      <w:tr w:rsidR="005006CF" w:rsidRPr="00EC4DCA" w:rsidTr="005006CF">
        <w:trPr>
          <w:cantSplit/>
          <w:jc w:val="center"/>
        </w:trPr>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رقم الفاكس:</w:t>
            </w:r>
          </w:p>
        </w:tc>
        <w:tc>
          <w:tcPr>
            <w:tcW w:w="633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7"/>
                  <w:enabled/>
                  <w:calcOnExit w:val="0"/>
                  <w:textInput/>
                </w:ffData>
              </w:fldChar>
            </w:r>
            <w:bookmarkStart w:id="6" w:name="Text7"/>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6"/>
          </w:p>
        </w:tc>
      </w:tr>
      <w:tr w:rsidR="005006CF" w:rsidRPr="00EC4DCA" w:rsidTr="005006CF">
        <w:trPr>
          <w:cantSplit/>
          <w:jc w:val="center"/>
        </w:trPr>
        <w:tc>
          <w:tcPr>
            <w:tcW w:w="25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5006CF" w:rsidRDefault="005006CF" w:rsidP="005006CF">
            <w:pPr>
              <w:spacing w:before="60" w:after="60" w:line="400" w:lineRule="exact"/>
              <w:jc w:val="right"/>
              <w:rPr>
                <w:rFonts w:cs="Traditional Arabic"/>
                <w:b/>
                <w:szCs w:val="30"/>
                <w:lang w:val="en-GB"/>
              </w:rPr>
            </w:pPr>
            <w:r w:rsidRPr="005006CF">
              <w:rPr>
                <w:rFonts w:cs="Traditional Arabic" w:hint="cs"/>
                <w:b/>
                <w:szCs w:val="30"/>
                <w:rtl/>
                <w:lang w:val="en-GB"/>
              </w:rPr>
              <w:t>عنوان البريد الإلكتروني:</w:t>
            </w:r>
          </w:p>
        </w:tc>
        <w:tc>
          <w:tcPr>
            <w:tcW w:w="6338" w:type="dxa"/>
            <w:gridSpan w:val="2"/>
            <w:tcBorders>
              <w:top w:val="single" w:sz="4" w:space="0" w:color="auto"/>
              <w:left w:val="single" w:sz="4" w:space="0" w:color="auto"/>
              <w:bottom w:val="nil"/>
              <w:right w:val="single" w:sz="4" w:space="0" w:color="auto"/>
            </w:tcBorders>
            <w:shd w:val="clear" w:color="auto" w:fill="F2F2F2" w:themeFill="background1" w:themeFillShade="F2"/>
            <w:vAlign w:val="center"/>
          </w:tcPr>
          <w:p w:rsidR="005006CF" w:rsidRPr="00EC4DCA" w:rsidRDefault="005006CF" w:rsidP="005006CF">
            <w:pPr>
              <w:spacing w:before="120" w:after="120"/>
              <w:jc w:val="right"/>
              <w:rPr>
                <w:rFonts w:cs="Traditional Arabic"/>
                <w:bCs/>
                <w:szCs w:val="30"/>
                <w:lang w:val="en-GB"/>
              </w:rPr>
            </w:pPr>
            <w:r w:rsidRPr="00EC4DCA">
              <w:rPr>
                <w:rFonts w:cs="Traditional Arabic"/>
                <w:bCs/>
                <w:szCs w:val="30"/>
                <w:lang w:val="en-GB"/>
              </w:rPr>
              <w:fldChar w:fldCharType="begin">
                <w:ffData>
                  <w:name w:val="Text8"/>
                  <w:enabled/>
                  <w:calcOnExit w:val="0"/>
                  <w:textInput/>
                </w:ffData>
              </w:fldChar>
            </w:r>
            <w:bookmarkStart w:id="7" w:name="Text8"/>
            <w:r w:rsidRPr="00EC4DCA">
              <w:rPr>
                <w:rFonts w:cs="Traditional Arabic"/>
                <w:bCs/>
                <w:szCs w:val="30"/>
                <w:lang w:val="en-GB"/>
              </w:rPr>
              <w:instrText xml:space="preserve"> FORMTEXT </w:instrText>
            </w:r>
            <w:r w:rsidRPr="00EC4DCA">
              <w:rPr>
                <w:rFonts w:cs="Traditional Arabic"/>
                <w:bCs/>
                <w:szCs w:val="30"/>
                <w:lang w:val="en-GB"/>
              </w:rPr>
            </w:r>
            <w:r w:rsidRPr="00EC4DCA">
              <w:rPr>
                <w:rFonts w:cs="Traditional Arabic"/>
                <w:bCs/>
                <w:szCs w:val="30"/>
                <w:lang w:val="en-GB"/>
              </w:rPr>
              <w:fldChar w:fldCharType="separate"/>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002A2EE5">
              <w:rPr>
                <w:rFonts w:cs="Traditional Arabic"/>
                <w:bCs/>
                <w:noProof/>
                <w:szCs w:val="30"/>
                <w:lang w:val="en-GB"/>
              </w:rPr>
              <w:t> </w:t>
            </w:r>
            <w:r w:rsidRPr="00EC4DCA">
              <w:rPr>
                <w:rFonts w:cs="Traditional Arabic"/>
                <w:bCs/>
                <w:szCs w:val="30"/>
                <w:lang w:val="en-GB"/>
              </w:rPr>
              <w:fldChar w:fldCharType="end"/>
            </w:r>
            <w:bookmarkEnd w:id="7"/>
          </w:p>
        </w:tc>
      </w:tr>
      <w:tr w:rsidR="005006CF" w:rsidRPr="00EC4DCA" w:rsidTr="005006CF">
        <w:trPr>
          <w:cantSplit/>
          <w:jc w:val="center"/>
        </w:trPr>
        <w:tc>
          <w:tcPr>
            <w:tcW w:w="8856" w:type="dxa"/>
            <w:gridSpan w:val="3"/>
            <w:tcBorders>
              <w:top w:val="nil"/>
              <w:left w:val="single" w:sz="4" w:space="0" w:color="auto"/>
              <w:bottom w:val="nil"/>
              <w:right w:val="single" w:sz="4" w:space="0" w:color="auto"/>
            </w:tcBorders>
            <w:shd w:val="clear" w:color="auto" w:fill="F2F2F2" w:themeFill="background1" w:themeFillShade="F2"/>
            <w:vAlign w:val="center"/>
          </w:tcPr>
          <w:p w:rsidR="005006CF" w:rsidRPr="00EC4DCA" w:rsidRDefault="005006CF" w:rsidP="00422195">
            <w:pPr>
              <w:bidi/>
              <w:spacing w:before="120" w:after="120" w:line="400" w:lineRule="exact"/>
              <w:jc w:val="center"/>
              <w:rPr>
                <w:rFonts w:cs="Traditional Arabic"/>
                <w:b/>
                <w:bCs/>
                <w:sz w:val="34"/>
                <w:szCs w:val="34"/>
              </w:rPr>
            </w:pPr>
            <w:r w:rsidRPr="00EC4DCA">
              <w:rPr>
                <w:rFonts w:cs="Traditional Arabic" w:hint="cs"/>
                <w:b/>
                <w:bCs/>
                <w:sz w:val="34"/>
                <w:szCs w:val="34"/>
                <w:rtl/>
              </w:rPr>
              <w:t xml:space="preserve">النشر في الموقع الشبكي </w:t>
            </w:r>
            <w:r w:rsidR="00422195">
              <w:rPr>
                <w:rFonts w:cs="Traditional Arabic" w:hint="cs"/>
                <w:b/>
                <w:bCs/>
                <w:sz w:val="34"/>
                <w:szCs w:val="34"/>
                <w:rtl/>
              </w:rPr>
              <w:t>ل</w:t>
            </w:r>
            <w:r w:rsidRPr="00EC4DCA">
              <w:rPr>
                <w:rFonts w:cs="Traditional Arabic" w:hint="cs"/>
                <w:b/>
                <w:bCs/>
                <w:sz w:val="34"/>
                <w:szCs w:val="34"/>
                <w:rtl/>
              </w:rPr>
              <w:t>مكتب الأمم المتحدة المعني بالمخدِّرات والجريمة</w:t>
            </w:r>
          </w:p>
        </w:tc>
      </w:tr>
      <w:tr w:rsidR="005006CF" w:rsidRPr="00EC4DCA" w:rsidTr="005006CF">
        <w:trPr>
          <w:cantSplit/>
          <w:jc w:val="center"/>
        </w:trPr>
        <w:tc>
          <w:tcPr>
            <w:tcW w:w="5495" w:type="dxa"/>
            <w:gridSpan w:val="2"/>
            <w:tcBorders>
              <w:top w:val="nil"/>
              <w:left w:val="single" w:sz="4" w:space="0" w:color="auto"/>
              <w:bottom w:val="single" w:sz="4" w:space="0" w:color="auto"/>
              <w:right w:val="nil"/>
            </w:tcBorders>
            <w:shd w:val="clear" w:color="auto" w:fill="F2F2F2" w:themeFill="background1" w:themeFillShade="F2"/>
            <w:vAlign w:val="center"/>
          </w:tcPr>
          <w:p w:rsidR="005006CF" w:rsidRPr="005D5E78" w:rsidRDefault="005006CF" w:rsidP="00422195">
            <w:pPr>
              <w:bidi/>
              <w:spacing w:after="120" w:line="400" w:lineRule="exact"/>
              <w:rPr>
                <w:rFonts w:cs="Traditional Arabic"/>
                <w:sz w:val="20"/>
                <w:szCs w:val="30"/>
                <w:rtl/>
              </w:rPr>
            </w:pPr>
            <w:r w:rsidRPr="005D5E78">
              <w:rPr>
                <w:rFonts w:cs="Traditional Arabic" w:hint="cs"/>
                <w:sz w:val="20"/>
                <w:szCs w:val="30"/>
                <w:rtl/>
              </w:rPr>
              <w:t xml:space="preserve">هل توافقون على نشر هذا الاستبيان "بالصيغة </w:t>
            </w:r>
            <w:r w:rsidR="00422195" w:rsidRPr="005D5E78">
              <w:rPr>
                <w:rFonts w:cs="Traditional Arabic" w:hint="cs"/>
                <w:sz w:val="20"/>
                <w:szCs w:val="30"/>
                <w:rtl/>
              </w:rPr>
              <w:t>التي ورد</w:t>
            </w:r>
            <w:r w:rsidRPr="005D5E78">
              <w:rPr>
                <w:rFonts w:cs="Traditional Arabic" w:hint="cs"/>
                <w:sz w:val="20"/>
                <w:szCs w:val="30"/>
                <w:rtl/>
              </w:rPr>
              <w:t xml:space="preserve"> بها"</w:t>
            </w:r>
            <w:r w:rsidRPr="005D5E78">
              <w:rPr>
                <w:rFonts w:cs="Traditional Arabic"/>
                <w:sz w:val="20"/>
                <w:szCs w:val="30"/>
                <w:rtl/>
              </w:rPr>
              <w:br/>
            </w:r>
            <w:r w:rsidRPr="005D5E78">
              <w:rPr>
                <w:rFonts w:cs="Traditional Arabic" w:hint="cs"/>
                <w:sz w:val="20"/>
                <w:szCs w:val="30"/>
                <w:rtl/>
              </w:rPr>
              <w:t>في الموقع الشبكي للمكتب</w:t>
            </w:r>
          </w:p>
        </w:tc>
        <w:tc>
          <w:tcPr>
            <w:tcW w:w="3361" w:type="dxa"/>
            <w:tcBorders>
              <w:top w:val="nil"/>
              <w:left w:val="nil"/>
              <w:bottom w:val="single" w:sz="4" w:space="0" w:color="auto"/>
              <w:right w:val="single" w:sz="4" w:space="0" w:color="auto"/>
            </w:tcBorders>
            <w:shd w:val="clear" w:color="auto" w:fill="F2F2F2" w:themeFill="background1" w:themeFillShade="F2"/>
            <w:vAlign w:val="center"/>
          </w:tcPr>
          <w:p w:rsidR="005006CF" w:rsidRPr="005D5E78" w:rsidRDefault="005D5E78" w:rsidP="00AB0477">
            <w:pPr>
              <w:bidi/>
              <w:spacing w:line="400" w:lineRule="exact"/>
              <w:rPr>
                <w:rFonts w:cs="Traditional Arabic"/>
                <w:sz w:val="20"/>
                <w:szCs w:val="30"/>
              </w:rPr>
            </w:pPr>
            <w:r w:rsidRPr="005D5E78">
              <w:rPr>
                <w:rFonts w:cs="Traditional Arabic" w:hint="cs"/>
                <w:szCs w:val="34"/>
              </w:rPr>
              <w:sym w:font="Wingdings" w:char="F0A8"/>
            </w:r>
            <w:r w:rsidRPr="005D5E78">
              <w:rPr>
                <w:rFonts w:cs="Traditional Arabic" w:hint="cs"/>
                <w:sz w:val="20"/>
                <w:szCs w:val="30"/>
                <w:rtl/>
              </w:rPr>
              <w:t xml:space="preserve"> نعم</w:t>
            </w:r>
          </w:p>
          <w:p w:rsidR="005006CF" w:rsidRPr="005D5E78" w:rsidRDefault="005D5E78" w:rsidP="00AB0477">
            <w:pPr>
              <w:bidi/>
              <w:spacing w:line="400" w:lineRule="exact"/>
              <w:rPr>
                <w:rFonts w:cs="Traditional Arabic"/>
                <w:sz w:val="20"/>
                <w:szCs w:val="30"/>
                <w:rtl/>
              </w:rPr>
            </w:pPr>
            <w:r w:rsidRPr="005D5E78">
              <w:rPr>
                <w:rFonts w:cs="Traditional Arabic" w:hint="cs"/>
                <w:szCs w:val="34"/>
              </w:rPr>
              <w:sym w:font="Wingdings" w:char="F0A8"/>
            </w:r>
            <w:r w:rsidRPr="005D5E78">
              <w:rPr>
                <w:rFonts w:cs="Traditional Arabic" w:hint="cs"/>
                <w:sz w:val="20"/>
                <w:szCs w:val="30"/>
                <w:rtl/>
              </w:rPr>
              <w:t xml:space="preserve"> لا</w:t>
            </w:r>
          </w:p>
        </w:tc>
      </w:tr>
    </w:tbl>
    <w:p w:rsidR="004C6BFD" w:rsidRDefault="004C6BFD" w:rsidP="0013395B">
      <w:pPr>
        <w:pStyle w:val="SingleTxt"/>
        <w:spacing w:after="0" w:line="360" w:lineRule="exact"/>
        <w:ind w:left="0" w:right="0"/>
        <w:jc w:val="left"/>
        <w:rPr>
          <w:b/>
          <w:bCs/>
          <w:noProof w:val="0"/>
          <w:sz w:val="32"/>
          <w:rtl/>
          <w:lang w:bidi="ar-EG"/>
        </w:rPr>
      </w:pPr>
    </w:p>
    <w:p w:rsidR="00537B2C" w:rsidRDefault="00537B2C" w:rsidP="001B5B0B">
      <w:pPr>
        <w:pStyle w:val="SingleTxt"/>
        <w:spacing w:before="120" w:line="360" w:lineRule="exact"/>
        <w:ind w:left="0" w:right="0"/>
        <w:jc w:val="center"/>
        <w:rPr>
          <w:b/>
          <w:bCs/>
          <w:noProof w:val="0"/>
          <w:sz w:val="32"/>
          <w:rtl/>
          <w:lang w:bidi="ar-EG"/>
        </w:rPr>
      </w:pPr>
      <w:r>
        <w:rPr>
          <w:rFonts w:hint="cs"/>
          <w:b/>
          <w:bCs/>
          <w:noProof w:val="0"/>
          <w:sz w:val="32"/>
          <w:rtl/>
          <w:lang w:bidi="ar-EG"/>
        </w:rPr>
        <w:t xml:space="preserve">الرجاء </w:t>
      </w:r>
      <w:r w:rsidR="00AE3784">
        <w:rPr>
          <w:rFonts w:hint="cs"/>
          <w:b/>
          <w:bCs/>
          <w:noProof w:val="0"/>
          <w:sz w:val="32"/>
          <w:rtl/>
          <w:lang w:bidi="ar-EG"/>
        </w:rPr>
        <w:t>إعادة هذا الاستبيان</w:t>
      </w:r>
      <w:r w:rsidR="001C2025">
        <w:rPr>
          <w:rFonts w:hint="cs"/>
          <w:b/>
          <w:bCs/>
          <w:noProof w:val="0"/>
          <w:sz w:val="32"/>
          <w:rtl/>
          <w:lang w:bidi="ar-EG"/>
        </w:rPr>
        <w:t xml:space="preserve"> </w:t>
      </w:r>
      <w:r w:rsidR="001C2025" w:rsidRPr="00A17A45">
        <w:rPr>
          <w:rFonts w:hint="cs"/>
          <w:b/>
          <w:bCs/>
          <w:noProof w:val="0"/>
          <w:sz w:val="32"/>
          <w:rtl/>
          <w:lang w:val="en-GB" w:bidi="ar-EG"/>
        </w:rPr>
        <w:t>(</w:t>
      </w:r>
      <w:r w:rsidR="001C2025" w:rsidRPr="00A17A45">
        <w:rPr>
          <w:rFonts w:hint="cs"/>
          <w:b/>
          <w:bCs/>
          <w:noProof w:val="0"/>
          <w:sz w:val="32"/>
          <w:rtl/>
          <w:lang w:val="en-GB"/>
        </w:rPr>
        <w:t>بصيغة وورد</w:t>
      </w:r>
      <w:r w:rsidR="001C2025" w:rsidRPr="00A17A45">
        <w:rPr>
          <w:rFonts w:hint="cs"/>
          <w:b/>
          <w:bCs/>
          <w:noProof w:val="0"/>
          <w:sz w:val="32"/>
          <w:rtl/>
          <w:lang w:val="en-GB" w:bidi="ar-EG"/>
        </w:rPr>
        <w:t>)</w:t>
      </w:r>
      <w:r w:rsidR="00AE3784">
        <w:rPr>
          <w:rFonts w:hint="cs"/>
          <w:b/>
          <w:bCs/>
          <w:noProof w:val="0"/>
          <w:sz w:val="32"/>
          <w:rtl/>
          <w:lang w:bidi="ar-EG"/>
        </w:rPr>
        <w:t xml:space="preserve"> </w:t>
      </w:r>
      <w:r>
        <w:rPr>
          <w:rFonts w:hint="cs"/>
          <w:b/>
          <w:bCs/>
          <w:noProof w:val="0"/>
          <w:sz w:val="32"/>
          <w:rtl/>
          <w:lang w:bidi="ar-EG"/>
        </w:rPr>
        <w:t>إلى مكتب الأمم المتحدة المعني بال</w:t>
      </w:r>
      <w:r w:rsidR="00AA6C4C">
        <w:rPr>
          <w:rFonts w:hint="cs"/>
          <w:b/>
          <w:bCs/>
          <w:noProof w:val="0"/>
          <w:sz w:val="32"/>
          <w:rtl/>
          <w:lang w:bidi="ar-EG"/>
        </w:rPr>
        <w:t>مخدِّرات</w:t>
      </w:r>
      <w:r>
        <w:rPr>
          <w:rFonts w:hint="cs"/>
          <w:b/>
          <w:bCs/>
          <w:noProof w:val="0"/>
          <w:sz w:val="32"/>
          <w:rtl/>
          <w:lang w:bidi="ar-EG"/>
        </w:rPr>
        <w:t xml:space="preserve"> والجريمة، على العنوان التالي:</w:t>
      </w:r>
    </w:p>
    <w:p w:rsidR="00537B2C" w:rsidRPr="00A40076" w:rsidRDefault="00A23B28" w:rsidP="00BC6E1D">
      <w:pPr>
        <w:widowControl w:val="0"/>
        <w:snapToGrid w:val="0"/>
        <w:spacing w:after="20"/>
        <w:jc w:val="center"/>
        <w:rPr>
          <w:b/>
          <w:bCs/>
          <w:sz w:val="22"/>
          <w:szCs w:val="22"/>
          <w:rtl/>
          <w:lang w:val="en-GB"/>
        </w:rPr>
      </w:pPr>
      <w:r w:rsidRPr="00A40076">
        <w:rPr>
          <w:b/>
          <w:bCs/>
          <w:sz w:val="22"/>
          <w:szCs w:val="22"/>
        </w:rPr>
        <w:t>Secretariat to the Governing Bodies</w:t>
      </w:r>
    </w:p>
    <w:p w:rsidR="00A23B28" w:rsidRPr="00A40076" w:rsidRDefault="00A23B28" w:rsidP="001C2025">
      <w:pPr>
        <w:pStyle w:val="SingleTxt"/>
        <w:spacing w:after="0" w:line="360" w:lineRule="exact"/>
        <w:ind w:left="0" w:right="0"/>
        <w:jc w:val="center"/>
        <w:rPr>
          <w:b/>
          <w:bCs/>
          <w:noProof w:val="0"/>
          <w:snapToGrid w:val="0"/>
          <w:sz w:val="22"/>
          <w:szCs w:val="22"/>
          <w:rtl/>
        </w:rPr>
      </w:pPr>
      <w:r w:rsidRPr="00A40076">
        <w:rPr>
          <w:rFonts w:hint="cs"/>
          <w:b/>
          <w:bCs/>
          <w:noProof w:val="0"/>
          <w:sz w:val="30"/>
          <w:rtl/>
          <w:lang w:val="en-GB" w:bidi="ar-EG"/>
        </w:rPr>
        <w:t>البريد الإلكتروني</w:t>
      </w:r>
      <w:r w:rsidRPr="00A40076">
        <w:rPr>
          <w:rFonts w:hint="cs"/>
          <w:b/>
          <w:bCs/>
          <w:noProof w:val="0"/>
          <w:snapToGrid w:val="0"/>
          <w:sz w:val="30"/>
          <w:rtl/>
          <w:lang w:val="en-GB"/>
        </w:rPr>
        <w:t>:</w:t>
      </w:r>
      <w:r w:rsidR="007762A6" w:rsidRPr="00A40076">
        <w:rPr>
          <w:rFonts w:hint="cs"/>
          <w:b/>
          <w:bCs/>
          <w:noProof w:val="0"/>
          <w:snapToGrid w:val="0"/>
          <w:sz w:val="28"/>
          <w:szCs w:val="28"/>
          <w:rtl/>
          <w:lang w:val="en-GB"/>
        </w:rPr>
        <w:t xml:space="preserve"> </w:t>
      </w:r>
      <w:hyperlink r:id="rId7" w:history="1">
        <w:r w:rsidR="002A2EE5" w:rsidRPr="00E62F18">
          <w:rPr>
            <w:rStyle w:val="Hyperlink"/>
            <w:b/>
            <w:bCs/>
            <w:spacing w:val="4"/>
            <w:sz w:val="22"/>
            <w:szCs w:val="22"/>
            <w:lang w:val="de-AT"/>
          </w:rPr>
          <w:t>unodc-sgb@un.org</w:t>
        </w:r>
      </w:hyperlink>
    </w:p>
    <w:p w:rsidR="001C2025" w:rsidRPr="00A40076" w:rsidRDefault="001C2025" w:rsidP="00AA6C4C">
      <w:pPr>
        <w:pStyle w:val="SingleTxt"/>
        <w:spacing w:after="0" w:line="360" w:lineRule="exact"/>
        <w:ind w:left="0" w:right="0"/>
        <w:jc w:val="center"/>
        <w:rPr>
          <w:b/>
          <w:bCs/>
          <w:noProof w:val="0"/>
          <w:sz w:val="32"/>
          <w:rtl/>
          <w:lang w:val="en-GB" w:bidi="ar-EG"/>
        </w:rPr>
      </w:pPr>
      <w:r w:rsidRPr="00A40076">
        <w:rPr>
          <w:rFonts w:hint="cs"/>
          <w:b/>
          <w:bCs/>
          <w:noProof w:val="0"/>
          <w:snapToGrid w:val="0"/>
          <w:sz w:val="30"/>
          <w:rtl/>
        </w:rPr>
        <w:t xml:space="preserve">نسخة </w:t>
      </w:r>
      <w:r w:rsidR="00AA6C4C" w:rsidRPr="00A40076">
        <w:rPr>
          <w:rFonts w:hint="cs"/>
          <w:b/>
          <w:bCs/>
          <w:noProof w:val="0"/>
          <w:snapToGrid w:val="0"/>
          <w:sz w:val="30"/>
          <w:rtl/>
        </w:rPr>
        <w:t>إ</w:t>
      </w:r>
      <w:r w:rsidRPr="00A40076">
        <w:rPr>
          <w:rFonts w:hint="cs"/>
          <w:b/>
          <w:bCs/>
          <w:noProof w:val="0"/>
          <w:snapToGrid w:val="0"/>
          <w:sz w:val="30"/>
          <w:rtl/>
        </w:rPr>
        <w:t>لى:</w:t>
      </w:r>
      <w:r w:rsidRPr="00A40076">
        <w:rPr>
          <w:rFonts w:hint="cs"/>
          <w:b/>
          <w:bCs/>
          <w:noProof w:val="0"/>
          <w:snapToGrid w:val="0"/>
          <w:sz w:val="22"/>
          <w:szCs w:val="22"/>
          <w:rtl/>
        </w:rPr>
        <w:t xml:space="preserve"> </w:t>
      </w:r>
      <w:hyperlink r:id="rId8" w:history="1">
        <w:r w:rsidR="00A229BC" w:rsidRPr="00E62F18">
          <w:rPr>
            <w:rStyle w:val="Hyperlink"/>
            <w:b/>
            <w:bCs/>
            <w:sz w:val="22"/>
            <w:szCs w:val="22"/>
          </w:rPr>
          <w:t>olga.teruel@un.org</w:t>
        </w:r>
      </w:hyperlink>
    </w:p>
    <w:p w:rsidR="007E5187" w:rsidRPr="00A40076" w:rsidRDefault="007E5187" w:rsidP="007E5187">
      <w:pPr>
        <w:pStyle w:val="SingleTxt"/>
        <w:spacing w:after="0" w:line="120" w:lineRule="exact"/>
        <w:ind w:left="0" w:right="0"/>
        <w:jc w:val="center"/>
        <w:rPr>
          <w:b/>
          <w:bCs/>
          <w:noProof w:val="0"/>
          <w:snapToGrid w:val="0"/>
          <w:sz w:val="10"/>
          <w:szCs w:val="38"/>
          <w:rtl/>
          <w:lang w:val="en-GB"/>
        </w:rPr>
      </w:pPr>
    </w:p>
    <w:p w:rsidR="00BC6E1D" w:rsidRPr="00A40076" w:rsidRDefault="00BC6E1D" w:rsidP="00BC6E1D">
      <w:pPr>
        <w:widowControl w:val="0"/>
        <w:snapToGrid w:val="0"/>
        <w:spacing w:after="20"/>
        <w:jc w:val="center"/>
        <w:rPr>
          <w:b/>
          <w:bCs/>
          <w:sz w:val="22"/>
          <w:szCs w:val="22"/>
          <w:lang w:val="en-GB"/>
        </w:rPr>
      </w:pPr>
      <w:r w:rsidRPr="00A40076">
        <w:rPr>
          <w:b/>
          <w:bCs/>
          <w:sz w:val="22"/>
          <w:szCs w:val="22"/>
          <w:lang w:val="en-GB"/>
        </w:rPr>
        <w:t>United Nations Office on Drugs and Crime (UNODC)</w:t>
      </w:r>
    </w:p>
    <w:p w:rsidR="00A23B28" w:rsidRPr="003B2DE6" w:rsidRDefault="00A23B28" w:rsidP="00C279B4">
      <w:pPr>
        <w:pStyle w:val="SingleTxt"/>
        <w:spacing w:after="0"/>
        <w:ind w:left="0" w:right="0"/>
        <w:jc w:val="center"/>
        <w:rPr>
          <w:b/>
          <w:bCs/>
          <w:noProof w:val="0"/>
          <w:snapToGrid w:val="0"/>
          <w:sz w:val="34"/>
          <w:szCs w:val="34"/>
          <w:rtl/>
          <w:lang w:val="en-GB"/>
        </w:rPr>
        <w:sectPr w:rsidR="00A23B28" w:rsidRPr="003B2DE6" w:rsidSect="00790281">
          <w:headerReference w:type="even" r:id="rId9"/>
          <w:footerReference w:type="even" r:id="rId10"/>
          <w:pgSz w:w="11907" w:h="16840" w:code="9"/>
          <w:pgMar w:top="1701" w:right="1134" w:bottom="1701" w:left="1134" w:header="1134" w:footer="2155" w:gutter="0"/>
          <w:cols w:space="720"/>
          <w:titlePg/>
          <w:docGrid w:linePitch="360"/>
        </w:sectPr>
      </w:pPr>
      <w:r w:rsidRPr="003B2DE6">
        <w:rPr>
          <w:rFonts w:hint="cs"/>
          <w:b/>
          <w:bCs/>
          <w:noProof w:val="0"/>
          <w:snapToGrid w:val="0"/>
          <w:sz w:val="34"/>
          <w:szCs w:val="34"/>
          <w:rtl/>
          <w:lang w:val="en-GB"/>
        </w:rPr>
        <w:t xml:space="preserve">وذلك في موعد أقصاه يوم </w:t>
      </w:r>
      <w:r w:rsidR="001C2025">
        <w:rPr>
          <w:rFonts w:hint="cs"/>
          <w:b/>
          <w:bCs/>
          <w:noProof w:val="0"/>
          <w:snapToGrid w:val="0"/>
          <w:sz w:val="34"/>
          <w:szCs w:val="34"/>
          <w:rtl/>
          <w:lang w:val="en-GB"/>
        </w:rPr>
        <w:t>1</w:t>
      </w:r>
      <w:r w:rsidR="00C279B4">
        <w:rPr>
          <w:rFonts w:hint="cs"/>
          <w:b/>
          <w:bCs/>
          <w:noProof w:val="0"/>
          <w:snapToGrid w:val="0"/>
          <w:sz w:val="34"/>
          <w:szCs w:val="34"/>
          <w:rtl/>
          <w:lang w:val="en-GB"/>
        </w:rPr>
        <w:t>7</w:t>
      </w:r>
      <w:r w:rsidR="007D733B">
        <w:rPr>
          <w:rFonts w:hint="cs"/>
          <w:b/>
          <w:bCs/>
          <w:noProof w:val="0"/>
          <w:snapToGrid w:val="0"/>
          <w:sz w:val="34"/>
          <w:szCs w:val="34"/>
          <w:rtl/>
          <w:lang w:val="en-GB"/>
        </w:rPr>
        <w:t xml:space="preserve"> </w:t>
      </w:r>
      <w:r w:rsidR="00AE3784">
        <w:rPr>
          <w:rFonts w:hint="cs"/>
          <w:b/>
          <w:bCs/>
          <w:noProof w:val="0"/>
          <w:snapToGrid w:val="0"/>
          <w:sz w:val="34"/>
          <w:szCs w:val="34"/>
          <w:rtl/>
          <w:lang w:val="en-GB"/>
        </w:rPr>
        <w:t>آب/أغسطس</w:t>
      </w:r>
      <w:r w:rsidR="0018166C">
        <w:rPr>
          <w:rFonts w:hint="cs"/>
          <w:b/>
          <w:bCs/>
          <w:noProof w:val="0"/>
          <w:snapToGrid w:val="0"/>
          <w:sz w:val="34"/>
          <w:szCs w:val="34"/>
          <w:rtl/>
          <w:lang w:val="en-GB"/>
        </w:rPr>
        <w:t xml:space="preserve"> </w:t>
      </w:r>
      <w:r w:rsidR="00DE57E0">
        <w:rPr>
          <w:rFonts w:hint="cs"/>
          <w:b/>
          <w:bCs/>
          <w:noProof w:val="0"/>
          <w:snapToGrid w:val="0"/>
          <w:sz w:val="34"/>
          <w:szCs w:val="34"/>
          <w:rtl/>
          <w:lang w:val="en-GB"/>
        </w:rPr>
        <w:t>201</w:t>
      </w:r>
      <w:r w:rsidR="00C279B4">
        <w:rPr>
          <w:rFonts w:hint="cs"/>
          <w:b/>
          <w:bCs/>
          <w:noProof w:val="0"/>
          <w:snapToGrid w:val="0"/>
          <w:sz w:val="34"/>
          <w:szCs w:val="34"/>
          <w:rtl/>
          <w:lang w:val="en-GB"/>
        </w:rPr>
        <w:t>8</w:t>
      </w:r>
    </w:p>
    <w:p w:rsidR="0080146C" w:rsidRPr="0080146C" w:rsidRDefault="0018166C" w:rsidP="0080146C">
      <w:pPr>
        <w:bidi/>
        <w:jc w:val="center"/>
        <w:rPr>
          <w:rFonts w:ascii="Traditional Arabic" w:hAnsi="Traditional Arabic" w:cs="Traditional Arabic"/>
          <w:b/>
          <w:bCs/>
          <w:spacing w:val="4"/>
          <w:w w:val="103"/>
          <w:kern w:val="14"/>
          <w:sz w:val="34"/>
          <w:szCs w:val="34"/>
          <w:rtl/>
        </w:rPr>
      </w:pPr>
      <w:r>
        <w:rPr>
          <w:rFonts w:ascii="Traditional Arabic" w:hAnsi="Traditional Arabic" w:cs="Traditional Arabic" w:hint="cs"/>
          <w:b/>
          <w:bCs/>
          <w:spacing w:val="4"/>
          <w:w w:val="103"/>
          <w:kern w:val="14"/>
          <w:sz w:val="34"/>
          <w:szCs w:val="34"/>
          <w:rtl/>
        </w:rPr>
        <w:lastRenderedPageBreak/>
        <w:t>ملاحظة</w:t>
      </w:r>
      <w:r w:rsidR="0080146C" w:rsidRPr="0080146C">
        <w:rPr>
          <w:rFonts w:hint="cs"/>
          <w:b/>
          <w:bCs/>
          <w:spacing w:val="4"/>
          <w:w w:val="103"/>
          <w:kern w:val="14"/>
          <w:sz w:val="34"/>
          <w:szCs w:val="34"/>
          <w:rtl/>
        </w:rPr>
        <w:t xml:space="preserve"> </w:t>
      </w:r>
      <w:r w:rsidR="0080146C" w:rsidRPr="0080146C">
        <w:rPr>
          <w:rFonts w:ascii="Traditional Arabic" w:hAnsi="Traditional Arabic" w:cs="Traditional Arabic"/>
          <w:b/>
          <w:bCs/>
          <w:spacing w:val="4"/>
          <w:w w:val="103"/>
          <w:kern w:val="14"/>
          <w:sz w:val="34"/>
          <w:szCs w:val="34"/>
          <w:rtl/>
        </w:rPr>
        <w:t>إرشادية بشأن ملء الاستبيان عن تنفيذ التوصيات</w:t>
      </w: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80146C">
      <w:pPr>
        <w:bidi/>
        <w:spacing w:line="120" w:lineRule="exact"/>
        <w:rPr>
          <w:rFonts w:ascii="Traditional Arabic" w:hAnsi="Traditional Arabic" w:cs="Traditional Arabic"/>
          <w:spacing w:val="4"/>
          <w:w w:val="103"/>
          <w:kern w:val="14"/>
          <w:sz w:val="10"/>
          <w:rtl/>
        </w:rPr>
      </w:pPr>
    </w:p>
    <w:p w:rsidR="0080146C" w:rsidRPr="0080146C" w:rsidRDefault="0080146C" w:rsidP="00E520AA">
      <w:pPr>
        <w:bidi/>
        <w:spacing w:line="400" w:lineRule="exact"/>
        <w:ind w:left="567" w:right="567"/>
        <w:jc w:val="both"/>
        <w:rPr>
          <w:rFonts w:ascii="Traditional Arabic" w:hAnsi="Traditional Arabic" w:cs="Traditional Arabic"/>
          <w:spacing w:val="4"/>
          <w:w w:val="103"/>
          <w:kern w:val="14"/>
          <w:sz w:val="30"/>
          <w:szCs w:val="30"/>
          <w:rtl/>
        </w:rPr>
      </w:pPr>
      <w:r w:rsidRPr="0080146C">
        <w:rPr>
          <w:rFonts w:ascii="Traditional Arabic" w:hAnsi="Traditional Arabic" w:cs="Traditional Arabic"/>
          <w:spacing w:val="4"/>
          <w:w w:val="103"/>
          <w:kern w:val="14"/>
          <w:sz w:val="30"/>
          <w:szCs w:val="30"/>
          <w:rtl/>
        </w:rPr>
        <w:t>تدعو الأمانة</w:t>
      </w:r>
      <w:r>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 الحكومات إلى التكر</w:t>
      </w:r>
      <w:r w:rsidRPr="0080146C">
        <w:rPr>
          <w:rFonts w:ascii="Traditional Arabic" w:hAnsi="Traditional Arabic" w:cs="Traditional Arabic" w:hint="cs"/>
          <w:spacing w:val="4"/>
          <w:w w:val="103"/>
          <w:kern w:val="14"/>
          <w:sz w:val="30"/>
          <w:szCs w:val="30"/>
          <w:rtl/>
        </w:rPr>
        <w:t>ُّ</w:t>
      </w:r>
      <w:r w:rsidRPr="0080146C">
        <w:rPr>
          <w:rFonts w:ascii="Traditional Arabic" w:hAnsi="Traditional Arabic" w:cs="Traditional Arabic"/>
          <w:spacing w:val="4"/>
          <w:w w:val="103"/>
          <w:kern w:val="14"/>
          <w:sz w:val="30"/>
          <w:szCs w:val="30"/>
          <w:rtl/>
        </w:rPr>
        <w:t xml:space="preserve">م </w:t>
      </w:r>
      <w:r w:rsidR="00E520AA">
        <w:rPr>
          <w:rFonts w:ascii="Traditional Arabic" w:hAnsi="Traditional Arabic" w:cs="Traditional Arabic" w:hint="cs"/>
          <w:spacing w:val="4"/>
          <w:w w:val="103"/>
          <w:kern w:val="14"/>
          <w:sz w:val="30"/>
          <w:szCs w:val="30"/>
          <w:rtl/>
        </w:rPr>
        <w:t>باتباع الارشادات</w:t>
      </w:r>
      <w:r w:rsidRPr="0080146C">
        <w:rPr>
          <w:rFonts w:ascii="Traditional Arabic" w:hAnsi="Traditional Arabic" w:cs="Traditional Arabic"/>
          <w:spacing w:val="4"/>
          <w:w w:val="103"/>
          <w:kern w:val="14"/>
          <w:sz w:val="30"/>
          <w:szCs w:val="30"/>
          <w:rtl/>
        </w:rPr>
        <w:t xml:space="preserve"> </w:t>
      </w:r>
      <w:r w:rsidR="007F0A5E">
        <w:rPr>
          <w:rFonts w:ascii="Traditional Arabic" w:hAnsi="Traditional Arabic" w:cs="Traditional Arabic" w:hint="cs"/>
          <w:spacing w:val="4"/>
          <w:w w:val="103"/>
          <w:kern w:val="14"/>
          <w:sz w:val="30"/>
          <w:szCs w:val="30"/>
          <w:rtl/>
        </w:rPr>
        <w:t xml:space="preserve">التالية </w:t>
      </w:r>
      <w:r w:rsidRPr="0080146C">
        <w:rPr>
          <w:rFonts w:ascii="Traditional Arabic" w:hAnsi="Traditional Arabic" w:cs="Traditional Arabic"/>
          <w:spacing w:val="4"/>
          <w:w w:val="103"/>
          <w:kern w:val="14"/>
          <w:sz w:val="30"/>
          <w:szCs w:val="30"/>
          <w:rtl/>
        </w:rPr>
        <w:t>عند الإجابة عن الاستبيان</w:t>
      </w:r>
      <w:r w:rsidRPr="0080146C">
        <w:rPr>
          <w:rFonts w:ascii="Traditional Arabic" w:hAnsi="Traditional Arabic" w:cs="Traditional Arabic" w:hint="cs"/>
          <w:spacing w:val="4"/>
          <w:w w:val="103"/>
          <w:kern w:val="14"/>
          <w:sz w:val="30"/>
          <w:szCs w:val="30"/>
          <w:rtl/>
        </w:rPr>
        <w:t>:</w:t>
      </w:r>
    </w:p>
    <w:p w:rsidR="0080146C" w:rsidRPr="0080146C" w:rsidRDefault="0080146C" w:rsidP="00BC1C8B">
      <w:pPr>
        <w:bidi/>
        <w:spacing w:line="200" w:lineRule="exact"/>
        <w:ind w:left="567" w:right="567"/>
        <w:jc w:val="both"/>
        <w:rPr>
          <w:rFonts w:ascii="Traditional Arabic" w:hAnsi="Traditional Arabic" w:cs="Traditional Arabic"/>
          <w:spacing w:val="4"/>
          <w:w w:val="103"/>
          <w:kern w:val="14"/>
          <w:sz w:val="30"/>
          <w:szCs w:val="30"/>
          <w:rtl/>
        </w:rPr>
      </w:pPr>
    </w:p>
    <w:p w:rsidR="0080146C" w:rsidRPr="00ED6C0C" w:rsidRDefault="00ED6C0C" w:rsidP="00BC1C8B">
      <w:pPr>
        <w:tabs>
          <w:tab w:val="left" w:pos="1044"/>
        </w:tabs>
        <w:bidi/>
        <w:spacing w:line="400" w:lineRule="exact"/>
        <w:ind w:left="567" w:right="567"/>
        <w:jc w:val="both"/>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bCs/>
          <w:spacing w:val="4"/>
          <w:w w:val="103"/>
          <w:kern w:val="14"/>
          <w:sz w:val="30"/>
          <w:szCs w:val="30"/>
          <w:rtl/>
          <w:lang w:val="en-GB"/>
        </w:rPr>
        <w:t>تلخيص الإجراءات المت</w:t>
      </w:r>
      <w:r w:rsidR="0080146C" w:rsidRPr="00ED6C0C">
        <w:rPr>
          <w:rFonts w:ascii="Traditional Arabic" w:hAnsi="Traditional Arabic" w:cs="Traditional Arabic" w:hint="cs"/>
          <w:bCs/>
          <w:spacing w:val="4"/>
          <w:w w:val="103"/>
          <w:kern w:val="14"/>
          <w:sz w:val="30"/>
          <w:szCs w:val="30"/>
          <w:rtl/>
          <w:lang w:val="en-GB"/>
        </w:rPr>
        <w:t>َّ</w:t>
      </w:r>
      <w:r w:rsidR="0080146C" w:rsidRPr="00ED6C0C">
        <w:rPr>
          <w:rFonts w:ascii="Traditional Arabic" w:hAnsi="Traditional Arabic" w:cs="Traditional Arabic"/>
          <w:bCs/>
          <w:spacing w:val="4"/>
          <w:w w:val="103"/>
          <w:kern w:val="14"/>
          <w:sz w:val="30"/>
          <w:szCs w:val="30"/>
          <w:rtl/>
          <w:lang w:val="en-GB"/>
        </w:rPr>
        <w:t>خذة</w:t>
      </w:r>
      <w:r w:rsidR="0080146C" w:rsidRPr="00ED6C0C">
        <w:rPr>
          <w:rFonts w:ascii="Traditional Arabic" w:hAnsi="Traditional Arabic" w:cs="Traditional Arabic"/>
          <w:b/>
          <w:spacing w:val="4"/>
          <w:w w:val="103"/>
          <w:kern w:val="14"/>
          <w:sz w:val="30"/>
          <w:szCs w:val="30"/>
          <w:rtl/>
          <w:lang w:val="en-GB"/>
        </w:rPr>
        <w:t xml:space="preserve"> بشأن تنفيذ كل</w:t>
      </w:r>
      <w:r w:rsidR="00E00352" w:rsidRPr="00ED6C0C">
        <w:rPr>
          <w:rFonts w:ascii="Traditional Arabic" w:hAnsi="Traditional Arabic" w:cs="Traditional Arabic" w:hint="cs"/>
          <w:b/>
          <w:spacing w:val="4"/>
          <w:w w:val="103"/>
          <w:kern w:val="14"/>
          <w:sz w:val="30"/>
          <w:szCs w:val="30"/>
          <w:rtl/>
          <w:lang w:val="en-GB"/>
        </w:rPr>
        <w:t>ِّ</w:t>
      </w:r>
      <w:r w:rsidR="0080146C" w:rsidRPr="00ED6C0C">
        <w:rPr>
          <w:rFonts w:ascii="Traditional Arabic" w:hAnsi="Traditional Arabic" w:cs="Traditional Arabic"/>
          <w:b/>
          <w:spacing w:val="4"/>
          <w:w w:val="103"/>
          <w:kern w:val="14"/>
          <w:sz w:val="30"/>
          <w:szCs w:val="30"/>
          <w:rtl/>
          <w:lang w:val="en-GB"/>
        </w:rPr>
        <w:t xml:space="preserve"> توصية في ما لا يزيد على 200 كلمة؛</w:t>
      </w:r>
    </w:p>
    <w:p w:rsidR="0080146C" w:rsidRPr="0080146C" w:rsidRDefault="0080146C" w:rsidP="00BC1C8B">
      <w:pPr>
        <w:tabs>
          <w:tab w:val="left" w:pos="1044"/>
        </w:tabs>
        <w:bidi/>
        <w:spacing w:line="200" w:lineRule="exact"/>
        <w:ind w:left="567" w:right="567"/>
        <w:jc w:val="both"/>
        <w:rPr>
          <w:rFonts w:ascii="Traditional Arabic" w:hAnsi="Traditional Arabic" w:cs="Traditional Arabic"/>
          <w:spacing w:val="4"/>
          <w:w w:val="103"/>
          <w:kern w:val="14"/>
          <w:sz w:val="30"/>
          <w:szCs w:val="30"/>
          <w:rtl/>
        </w:rPr>
      </w:pPr>
    </w:p>
    <w:p w:rsidR="0080146C" w:rsidRPr="00ED6C0C" w:rsidRDefault="00ED6C0C" w:rsidP="00BC1C8B">
      <w:pPr>
        <w:tabs>
          <w:tab w:val="left" w:pos="1044"/>
        </w:tabs>
        <w:bidi/>
        <w:spacing w:line="400" w:lineRule="exact"/>
        <w:ind w:left="1044" w:right="567" w:hanging="477"/>
        <w:jc w:val="both"/>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hint="cs"/>
          <w:spacing w:val="4"/>
          <w:w w:val="103"/>
          <w:kern w:val="14"/>
          <w:sz w:val="30"/>
          <w:szCs w:val="30"/>
          <w:rtl/>
        </w:rPr>
        <w:t>توفير</w:t>
      </w:r>
      <w:r w:rsidR="0080146C" w:rsidRPr="00ED6C0C">
        <w:rPr>
          <w:rFonts w:ascii="Traditional Arabic" w:hAnsi="Traditional Arabic" w:cs="Traditional Arabic"/>
          <w:spacing w:val="4"/>
          <w:w w:val="103"/>
          <w:kern w:val="14"/>
          <w:sz w:val="30"/>
          <w:szCs w:val="30"/>
          <w:rtl/>
        </w:rPr>
        <w:t xml:space="preserve"> </w:t>
      </w:r>
      <w:r w:rsidR="0080146C" w:rsidRPr="00ED6C0C">
        <w:rPr>
          <w:rFonts w:ascii="Traditional Arabic" w:hAnsi="Traditional Arabic" w:cs="Traditional Arabic"/>
          <w:b/>
          <w:bCs/>
          <w:spacing w:val="4"/>
          <w:w w:val="103"/>
          <w:kern w:val="14"/>
          <w:sz w:val="30"/>
          <w:szCs w:val="30"/>
          <w:rtl/>
        </w:rPr>
        <w:t>إحالات مرجعية كاملة</w:t>
      </w:r>
      <w:r w:rsidR="0080146C" w:rsidRPr="00ED6C0C">
        <w:rPr>
          <w:rFonts w:ascii="Traditional Arabic" w:hAnsi="Traditional Arabic" w:cs="Traditional Arabic"/>
          <w:spacing w:val="4"/>
          <w:w w:val="103"/>
          <w:kern w:val="14"/>
          <w:sz w:val="30"/>
          <w:szCs w:val="30"/>
          <w:rtl/>
        </w:rPr>
        <w:t xml:space="preserve"> إلى التشريعات أو أيِّ وثائق أخرى إذا كانت لها صلة بتنفيذ </w:t>
      </w:r>
      <w:r w:rsidR="0080146C" w:rsidRPr="00ED6C0C">
        <w:rPr>
          <w:rFonts w:ascii="Traditional Arabic" w:hAnsi="Traditional Arabic" w:cs="Traditional Arabic" w:hint="cs"/>
          <w:spacing w:val="4"/>
          <w:w w:val="103"/>
          <w:kern w:val="14"/>
          <w:sz w:val="30"/>
          <w:szCs w:val="30"/>
          <w:rtl/>
        </w:rPr>
        <w:br/>
      </w:r>
      <w:r w:rsidR="0080146C" w:rsidRPr="00ED6C0C">
        <w:rPr>
          <w:rFonts w:ascii="Traditional Arabic" w:hAnsi="Traditional Arabic" w:cs="Traditional Arabic"/>
          <w:spacing w:val="4"/>
          <w:w w:val="103"/>
          <w:kern w:val="14"/>
          <w:sz w:val="30"/>
          <w:szCs w:val="30"/>
          <w:rtl/>
        </w:rPr>
        <w:t>كل</w:t>
      </w:r>
      <w:r w:rsidR="00E00352" w:rsidRPr="00ED6C0C">
        <w:rPr>
          <w:rFonts w:ascii="Traditional Arabic" w:hAnsi="Traditional Arabic" w:cs="Traditional Arabic" w:hint="cs"/>
          <w:spacing w:val="4"/>
          <w:w w:val="103"/>
          <w:kern w:val="14"/>
          <w:sz w:val="30"/>
          <w:szCs w:val="30"/>
          <w:rtl/>
        </w:rPr>
        <w:t>ِّ</w:t>
      </w:r>
      <w:r w:rsidR="0080146C" w:rsidRPr="00ED6C0C">
        <w:rPr>
          <w:rFonts w:ascii="Traditional Arabic" w:hAnsi="Traditional Arabic" w:cs="Traditional Arabic"/>
          <w:spacing w:val="4"/>
          <w:w w:val="103"/>
          <w:kern w:val="14"/>
          <w:sz w:val="30"/>
          <w:szCs w:val="30"/>
          <w:rtl/>
        </w:rPr>
        <w:t xml:space="preserve"> </w:t>
      </w:r>
      <w:r w:rsidR="0080146C" w:rsidRPr="00ED6C0C">
        <w:rPr>
          <w:rFonts w:ascii="Traditional Arabic" w:hAnsi="Traditional Arabic" w:cs="Traditional Arabic" w:hint="cs"/>
          <w:spacing w:val="4"/>
          <w:w w:val="103"/>
          <w:kern w:val="14"/>
          <w:sz w:val="30"/>
          <w:szCs w:val="30"/>
          <w:rtl/>
        </w:rPr>
        <w:t>توصية</w:t>
      </w:r>
      <w:r w:rsidR="0080146C" w:rsidRPr="00ED6C0C">
        <w:rPr>
          <w:rFonts w:ascii="Traditional Arabic" w:hAnsi="Traditional Arabic" w:cs="Traditional Arabic"/>
          <w:spacing w:val="4"/>
          <w:w w:val="103"/>
          <w:kern w:val="14"/>
          <w:sz w:val="30"/>
          <w:szCs w:val="30"/>
          <w:rtl/>
        </w:rPr>
        <w:t>؛</w:t>
      </w:r>
    </w:p>
    <w:p w:rsidR="0080146C" w:rsidRPr="0080146C" w:rsidRDefault="0080146C" w:rsidP="00BC1C8B">
      <w:pPr>
        <w:tabs>
          <w:tab w:val="left" w:pos="1044"/>
        </w:tabs>
        <w:bidi/>
        <w:spacing w:line="200" w:lineRule="exact"/>
        <w:ind w:left="567" w:right="567"/>
        <w:jc w:val="both"/>
        <w:rPr>
          <w:rFonts w:ascii="Traditional Arabic" w:hAnsi="Traditional Arabic" w:cs="Traditional Arabic"/>
          <w:spacing w:val="4"/>
          <w:w w:val="103"/>
          <w:kern w:val="14"/>
          <w:sz w:val="30"/>
          <w:szCs w:val="30"/>
          <w:rtl/>
        </w:rPr>
      </w:pPr>
    </w:p>
    <w:p w:rsidR="0080146C" w:rsidRPr="00ED6C0C" w:rsidRDefault="00ED6C0C" w:rsidP="00BC1C8B">
      <w:pPr>
        <w:tabs>
          <w:tab w:val="left" w:pos="1044"/>
        </w:tabs>
        <w:bidi/>
        <w:spacing w:line="400" w:lineRule="exact"/>
        <w:ind w:left="567" w:right="567"/>
        <w:jc w:val="both"/>
        <w:rPr>
          <w:rFonts w:ascii="Traditional Arabic" w:hAnsi="Traditional Arabic" w:cs="Traditional Arabic"/>
          <w:spacing w:val="4"/>
          <w:w w:val="103"/>
          <w:kern w:val="14"/>
          <w:sz w:val="30"/>
          <w:szCs w:val="30"/>
          <w:rtl/>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hint="cs"/>
          <w:spacing w:val="4"/>
          <w:w w:val="103"/>
          <w:kern w:val="14"/>
          <w:sz w:val="30"/>
          <w:szCs w:val="30"/>
          <w:rtl/>
        </w:rPr>
        <w:t>ت</w:t>
      </w:r>
      <w:r w:rsidR="0080146C" w:rsidRPr="00ED6C0C">
        <w:rPr>
          <w:rFonts w:ascii="Traditional Arabic" w:hAnsi="Traditional Arabic" w:cs="Traditional Arabic"/>
          <w:spacing w:val="4"/>
          <w:w w:val="103"/>
          <w:kern w:val="14"/>
          <w:sz w:val="30"/>
          <w:szCs w:val="30"/>
          <w:rtl/>
        </w:rPr>
        <w:t xml:space="preserve">وفير </w:t>
      </w:r>
      <w:r w:rsidR="0080146C" w:rsidRPr="00ED6C0C">
        <w:rPr>
          <w:rFonts w:ascii="Traditional Arabic" w:hAnsi="Traditional Arabic" w:cs="Traditional Arabic"/>
          <w:b/>
          <w:bCs/>
          <w:spacing w:val="4"/>
          <w:w w:val="103"/>
          <w:kern w:val="14"/>
          <w:sz w:val="30"/>
          <w:szCs w:val="30"/>
          <w:rtl/>
        </w:rPr>
        <w:t>بيانات كمية</w:t>
      </w:r>
      <w:r w:rsidR="0080146C" w:rsidRPr="00ED6C0C">
        <w:rPr>
          <w:rFonts w:ascii="Traditional Arabic" w:hAnsi="Traditional Arabic" w:cs="Traditional Arabic"/>
          <w:spacing w:val="4"/>
          <w:w w:val="103"/>
          <w:kern w:val="14"/>
          <w:sz w:val="30"/>
          <w:szCs w:val="30"/>
          <w:rtl/>
        </w:rPr>
        <w:t xml:space="preserve"> إضافة إلى وصف الإجراءات المت</w:t>
      </w:r>
      <w:r w:rsidR="0080146C" w:rsidRPr="00ED6C0C">
        <w:rPr>
          <w:rFonts w:ascii="Traditional Arabic" w:hAnsi="Traditional Arabic" w:cs="Traditional Arabic" w:hint="cs"/>
          <w:spacing w:val="4"/>
          <w:w w:val="103"/>
          <w:kern w:val="14"/>
          <w:sz w:val="30"/>
          <w:szCs w:val="30"/>
          <w:rtl/>
        </w:rPr>
        <w:t>َّ</w:t>
      </w:r>
      <w:r w:rsidR="0080146C" w:rsidRPr="00ED6C0C">
        <w:rPr>
          <w:rFonts w:ascii="Traditional Arabic" w:hAnsi="Traditional Arabic" w:cs="Traditional Arabic"/>
          <w:spacing w:val="4"/>
          <w:w w:val="103"/>
          <w:kern w:val="14"/>
          <w:sz w:val="30"/>
          <w:szCs w:val="30"/>
          <w:rtl/>
        </w:rPr>
        <w:t>خذة، عندما يكون ذلك ممكنا</w:t>
      </w:r>
      <w:r w:rsidR="0080146C" w:rsidRPr="00ED6C0C">
        <w:rPr>
          <w:rFonts w:ascii="Traditional Arabic" w:hAnsi="Traditional Arabic" w:cs="Traditional Arabic" w:hint="cs"/>
          <w:spacing w:val="4"/>
          <w:w w:val="103"/>
          <w:kern w:val="14"/>
          <w:sz w:val="30"/>
          <w:szCs w:val="30"/>
          <w:rtl/>
        </w:rPr>
        <w:t>ً</w:t>
      </w:r>
      <w:r w:rsidR="0080146C" w:rsidRPr="00ED6C0C">
        <w:rPr>
          <w:rFonts w:ascii="Traditional Arabic" w:hAnsi="Traditional Arabic" w:cs="Traditional Arabic"/>
          <w:spacing w:val="4"/>
          <w:w w:val="103"/>
          <w:kern w:val="14"/>
          <w:sz w:val="30"/>
          <w:szCs w:val="30"/>
          <w:rtl/>
        </w:rPr>
        <w:t xml:space="preserve"> ومنطبقا</w:t>
      </w:r>
      <w:r w:rsidR="0080146C" w:rsidRPr="00ED6C0C">
        <w:rPr>
          <w:rFonts w:ascii="Traditional Arabic" w:hAnsi="Traditional Arabic" w:cs="Traditional Arabic" w:hint="cs"/>
          <w:spacing w:val="4"/>
          <w:w w:val="103"/>
          <w:kern w:val="14"/>
          <w:sz w:val="30"/>
          <w:szCs w:val="30"/>
          <w:rtl/>
        </w:rPr>
        <w:t>ً؛</w:t>
      </w:r>
    </w:p>
    <w:p w:rsidR="0080146C" w:rsidRPr="0080146C" w:rsidRDefault="0080146C" w:rsidP="00BC1C8B">
      <w:pPr>
        <w:tabs>
          <w:tab w:val="left" w:pos="1044"/>
        </w:tabs>
        <w:bidi/>
        <w:spacing w:line="200" w:lineRule="exact"/>
        <w:ind w:left="567" w:right="567"/>
        <w:jc w:val="both"/>
        <w:rPr>
          <w:rFonts w:ascii="Traditional Arabic" w:hAnsi="Traditional Arabic" w:cs="Traditional Arabic"/>
          <w:spacing w:val="4"/>
          <w:w w:val="103"/>
          <w:kern w:val="14"/>
          <w:sz w:val="30"/>
          <w:szCs w:val="30"/>
        </w:rPr>
      </w:pPr>
    </w:p>
    <w:p w:rsidR="0080146C" w:rsidRPr="00ED6C0C" w:rsidRDefault="00ED6C0C" w:rsidP="00BC1C8B">
      <w:pPr>
        <w:tabs>
          <w:tab w:val="left" w:pos="1044"/>
        </w:tabs>
        <w:bidi/>
        <w:spacing w:line="400" w:lineRule="exact"/>
        <w:ind w:left="567" w:right="567"/>
        <w:jc w:val="both"/>
        <w:rPr>
          <w:rFonts w:ascii="Traditional Arabic" w:hAnsi="Traditional Arabic" w:cs="Traditional Arabic"/>
          <w:spacing w:val="4"/>
          <w:w w:val="103"/>
          <w:kern w:val="14"/>
          <w:sz w:val="30"/>
          <w:szCs w:val="30"/>
        </w:rPr>
      </w:pPr>
      <w:r>
        <w:rPr>
          <w:rFonts w:ascii="Traditional Arabic" w:hAnsi="Traditional Arabic" w:cs="Traditional Arabic" w:hint="cs"/>
          <w:bCs/>
          <w:spacing w:val="4"/>
          <w:w w:val="103"/>
          <w:kern w:val="14"/>
          <w:sz w:val="30"/>
          <w:szCs w:val="30"/>
          <w:rtl/>
          <w:lang w:val="en-GB"/>
        </w:rPr>
        <w:t>•</w:t>
      </w:r>
      <w:r>
        <w:rPr>
          <w:rFonts w:asciiTheme="minorHAnsi" w:hAnsiTheme="minorHAnsi" w:cs="Traditional Arabic"/>
          <w:bCs/>
          <w:spacing w:val="4"/>
          <w:w w:val="103"/>
          <w:kern w:val="14"/>
          <w:sz w:val="30"/>
          <w:szCs w:val="30"/>
          <w:lang w:val="en-GB"/>
        </w:rPr>
        <w:tab/>
      </w:r>
      <w:r w:rsidR="0080146C" w:rsidRPr="00ED6C0C">
        <w:rPr>
          <w:rFonts w:ascii="Traditional Arabic" w:hAnsi="Traditional Arabic" w:cs="Traditional Arabic"/>
          <w:spacing w:val="4"/>
          <w:w w:val="103"/>
          <w:kern w:val="14"/>
          <w:sz w:val="30"/>
          <w:szCs w:val="30"/>
          <w:rtl/>
        </w:rPr>
        <w:t xml:space="preserve">توفير معلومات عن </w:t>
      </w:r>
      <w:r w:rsidR="0080146C" w:rsidRPr="00ED6C0C">
        <w:rPr>
          <w:rFonts w:ascii="Traditional Arabic" w:hAnsi="Traditional Arabic" w:cs="Traditional Arabic"/>
          <w:b/>
          <w:bCs/>
          <w:spacing w:val="4"/>
          <w:w w:val="103"/>
          <w:kern w:val="14"/>
          <w:sz w:val="30"/>
          <w:szCs w:val="30"/>
          <w:rtl/>
        </w:rPr>
        <w:t>العقبات الرئيسية التي تعترض تنفيذ</w:t>
      </w:r>
      <w:r w:rsidR="0080146C" w:rsidRPr="00ED6C0C">
        <w:rPr>
          <w:rFonts w:ascii="Traditional Arabic" w:hAnsi="Traditional Arabic" w:cs="Traditional Arabic"/>
          <w:spacing w:val="4"/>
          <w:w w:val="103"/>
          <w:kern w:val="14"/>
          <w:sz w:val="30"/>
          <w:szCs w:val="30"/>
          <w:rtl/>
        </w:rPr>
        <w:t xml:space="preserve"> توصية ما</w:t>
      </w:r>
      <w:r w:rsidR="0080146C" w:rsidRPr="00ED6C0C">
        <w:rPr>
          <w:rFonts w:ascii="Traditional Arabic" w:hAnsi="Traditional Arabic" w:cs="Traditional Arabic" w:hint="cs"/>
          <w:spacing w:val="4"/>
          <w:w w:val="103"/>
          <w:kern w:val="14"/>
          <w:sz w:val="30"/>
          <w:szCs w:val="30"/>
          <w:rtl/>
        </w:rPr>
        <w:t>، إن وُجدت</w:t>
      </w:r>
      <w:r w:rsidR="0080146C" w:rsidRPr="00ED6C0C">
        <w:rPr>
          <w:rFonts w:ascii="Traditional Arabic" w:hAnsi="Traditional Arabic" w:cs="Traditional Arabic"/>
          <w:spacing w:val="4"/>
          <w:w w:val="103"/>
          <w:kern w:val="14"/>
          <w:sz w:val="30"/>
          <w:szCs w:val="30"/>
          <w:rtl/>
        </w:rPr>
        <w:t>.</w:t>
      </w:r>
    </w:p>
    <w:p w:rsidR="00A23B28" w:rsidRDefault="0080146C" w:rsidP="008D3585">
      <w:pPr>
        <w:pStyle w:val="SingleTxt"/>
        <w:pBdr>
          <w:bottom w:val="single" w:sz="4" w:space="1" w:color="auto"/>
        </w:pBdr>
        <w:ind w:left="0" w:right="0"/>
        <w:jc w:val="left"/>
        <w:rPr>
          <w:b/>
          <w:bCs/>
          <w:noProof w:val="0"/>
          <w:sz w:val="36"/>
          <w:szCs w:val="34"/>
          <w:rtl/>
          <w:lang w:val="en-GB" w:bidi="ar-EG"/>
        </w:rPr>
      </w:pPr>
      <w:r>
        <w:rPr>
          <w:b/>
          <w:bCs/>
          <w:noProof w:val="0"/>
          <w:sz w:val="36"/>
          <w:szCs w:val="34"/>
          <w:rtl/>
          <w:lang w:val="en-GB" w:bidi="ar-EG"/>
        </w:rPr>
        <w:br w:type="page"/>
      </w:r>
      <w:r w:rsidR="00A23B28">
        <w:rPr>
          <w:rFonts w:hint="cs"/>
          <w:b/>
          <w:bCs/>
          <w:noProof w:val="0"/>
          <w:sz w:val="36"/>
          <w:szCs w:val="34"/>
          <w:rtl/>
          <w:lang w:val="en-GB" w:bidi="ar-EG"/>
        </w:rPr>
        <w:lastRenderedPageBreak/>
        <w:t>المسألة الأولى</w:t>
      </w:r>
    </w:p>
    <w:p w:rsidR="00A23B28" w:rsidRPr="00BC5D37" w:rsidRDefault="00BC5D37" w:rsidP="00897B72">
      <w:pPr>
        <w:pStyle w:val="SingleTxt"/>
        <w:spacing w:after="240"/>
        <w:ind w:left="0" w:right="0"/>
        <w:jc w:val="left"/>
        <w:rPr>
          <w:b/>
          <w:bCs/>
          <w:sz w:val="34"/>
          <w:szCs w:val="34"/>
          <w:rtl/>
        </w:rPr>
      </w:pPr>
      <w:r w:rsidRPr="00BC5D37">
        <w:rPr>
          <w:b/>
          <w:bCs/>
          <w:rtl/>
          <w:lang w:val="en-GB" w:eastAsia="zh-TW"/>
        </w:rPr>
        <w:t>تعزيز التعاون والتنسيق في مجال مكافحة الاتِّجار</w:t>
      </w:r>
    </w:p>
    <w:p w:rsidR="00A23B28" w:rsidRDefault="00A23B28" w:rsidP="008D3585">
      <w:pPr>
        <w:pStyle w:val="SingleTxt"/>
        <w:ind w:left="0" w:right="0"/>
        <w:jc w:val="both"/>
        <w:rPr>
          <w:b/>
          <w:bCs/>
          <w:noProof w:val="0"/>
          <w:sz w:val="30"/>
          <w:szCs w:val="32"/>
          <w:rtl/>
          <w:lang w:val="en-GB"/>
        </w:rPr>
      </w:pPr>
      <w:r>
        <w:rPr>
          <w:rFonts w:hint="cs"/>
          <w:b/>
          <w:bCs/>
          <w:noProof w:val="0"/>
          <w:sz w:val="30"/>
          <w:szCs w:val="32"/>
          <w:rtl/>
          <w:lang w:val="en-GB" w:bidi="ar-EG"/>
        </w:rPr>
        <w:t xml:space="preserve">التوصية </w:t>
      </w:r>
      <w:r w:rsidR="006D0727">
        <w:rPr>
          <w:rFonts w:hint="cs"/>
          <w:b/>
          <w:bCs/>
          <w:noProof w:val="0"/>
          <w:sz w:val="30"/>
          <w:szCs w:val="32"/>
          <w:rtl/>
          <w:lang w:val="en-GB"/>
        </w:rPr>
        <w:t>1</w:t>
      </w:r>
    </w:p>
    <w:p w:rsidR="00A23B28" w:rsidRDefault="00BC5D37" w:rsidP="00BC5D37">
      <w:pPr>
        <w:pStyle w:val="SingleTxt"/>
        <w:pBdr>
          <w:top w:val="single" w:sz="4" w:space="4" w:color="auto"/>
          <w:left w:val="single" w:sz="4" w:space="1" w:color="auto"/>
          <w:bottom w:val="single" w:sz="4" w:space="6" w:color="auto"/>
          <w:right w:val="single" w:sz="4" w:space="1" w:color="auto"/>
        </w:pBdr>
        <w:ind w:left="0" w:right="0"/>
        <w:jc w:val="both"/>
        <w:rPr>
          <w:noProof w:val="0"/>
          <w:sz w:val="30"/>
          <w:rtl/>
          <w:lang w:val="en-GB" w:bidi="ar-EG"/>
        </w:rPr>
      </w:pPr>
      <w:r w:rsidRPr="00404289">
        <w:rPr>
          <w:rFonts w:eastAsia="Calibri"/>
          <w:w w:val="100"/>
          <w:rtl/>
          <w:lang w:val="en-GB" w:eastAsia="zh-TW"/>
        </w:rPr>
        <w:t>ينبغي للحكومات أن تدعم توثيق التعاون بين أجهزتها الوطنية المختصة بإنفاذ القانون والقطاع الخاص، بما يشمل مقدِّمي خدمات الإنترنت وشركات تحويل الأموال والقطاع المصرفي ومقدِّمي الخدمات الخاصة بالعملات الافتراضية، من أجل مجابهة التحدي الذي تطرحه تجارة المخدِّرات غير المشروعة عبر الإنترنت والتدفقات المالية غير المشروعة المتصلة بها</w:t>
      </w:r>
      <w:r w:rsidR="005D5E78">
        <w:rPr>
          <w:rFonts w:hint="cs"/>
          <w:noProof w:val="0"/>
          <w:sz w:val="30"/>
          <w:rtl/>
          <w:lang w:val="en-GB" w:bidi="ar-EG"/>
        </w:rPr>
        <w:t>.</w:t>
      </w:r>
    </w:p>
    <w:p w:rsidR="006E3916" w:rsidRDefault="006E3916" w:rsidP="006E3916">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noProof w:val="0"/>
          <w:sz w:val="30"/>
          <w:rtl/>
          <w:lang w:val="en-GB" w:bidi="ar-EG"/>
        </w:rPr>
      </w:pPr>
    </w:p>
    <w:p w:rsidR="005D5E78" w:rsidRPr="005D5E78" w:rsidRDefault="005D5E78" w:rsidP="005D5E78">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A23B28" w:rsidRPr="005D5E78" w:rsidRDefault="00A23B28" w:rsidP="005D5E78">
      <w:pPr>
        <w:pStyle w:val="SingleTxt"/>
        <w:spacing w:after="0" w:line="120" w:lineRule="exact"/>
        <w:jc w:val="both"/>
        <w:rPr>
          <w:noProof w:val="0"/>
          <w:sz w:val="12"/>
          <w:rtl/>
          <w:lang w:val="en-GB"/>
        </w:rPr>
      </w:pPr>
    </w:p>
    <w:p w:rsidR="00FE1F33" w:rsidRPr="00FE1F33" w:rsidRDefault="00FE1F33" w:rsidP="005D5E78">
      <w:pPr>
        <w:pStyle w:val="SingleTxt"/>
        <w:ind w:left="0" w:right="0"/>
        <w:rPr>
          <w:noProof w:val="0"/>
          <w:sz w:val="28"/>
          <w:szCs w:val="28"/>
          <w:rtl/>
          <w:lang w:val="en-GB"/>
        </w:rPr>
      </w:pPr>
      <w:r w:rsidRPr="00FE1F33">
        <w:rPr>
          <w:rFonts w:hint="cs"/>
          <w:noProof w:val="0"/>
          <w:sz w:val="28"/>
          <w:szCs w:val="28"/>
          <w:rtl/>
          <w:lang w:val="en-GB"/>
        </w:rPr>
        <w:t>يرجى التوضيح:</w:t>
      </w:r>
    </w:p>
    <w:p w:rsidR="00FE1F33" w:rsidRDefault="00FE1F33" w:rsidP="00FE1F33">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FE1F33" w:rsidRDefault="00FE1F33"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b/>
          <w:bCs/>
          <w:noProof w:val="0"/>
          <w:sz w:val="28"/>
          <w:szCs w:val="28"/>
          <w:rtl/>
          <w:lang w:val="en-GB"/>
        </w:rPr>
      </w:pPr>
    </w:p>
    <w:p w:rsidR="00FE1F33" w:rsidRDefault="00FE1F33" w:rsidP="00FE1F33">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A23B28" w:rsidRDefault="00A23B28">
      <w:pPr>
        <w:pStyle w:val="SingleTxt"/>
        <w:spacing w:after="0" w:line="120" w:lineRule="exact"/>
        <w:jc w:val="both"/>
        <w:rPr>
          <w:noProof w:val="0"/>
          <w:sz w:val="12"/>
          <w:rtl/>
          <w:lang w:val="en-GB"/>
        </w:rPr>
      </w:pPr>
    </w:p>
    <w:p w:rsidR="00A23B28" w:rsidRDefault="00A23B28">
      <w:pPr>
        <w:pStyle w:val="SingleTxt"/>
        <w:spacing w:after="0" w:line="120" w:lineRule="exact"/>
        <w:jc w:val="both"/>
        <w:rPr>
          <w:noProof w:val="0"/>
          <w:sz w:val="12"/>
          <w:rtl/>
          <w:lang w:val="en-GB"/>
        </w:rPr>
      </w:pPr>
    </w:p>
    <w:p w:rsidR="00A23B28" w:rsidRDefault="00A23B28" w:rsidP="00F50FB5">
      <w:pPr>
        <w:pStyle w:val="SingleTxt"/>
        <w:ind w:left="0" w:right="0"/>
        <w:jc w:val="both"/>
        <w:rPr>
          <w:b/>
          <w:bCs/>
          <w:noProof w:val="0"/>
          <w:sz w:val="30"/>
          <w:szCs w:val="32"/>
          <w:rtl/>
          <w:lang w:val="en-GB" w:bidi="ar-EG"/>
        </w:rPr>
      </w:pPr>
      <w:r>
        <w:rPr>
          <w:rFonts w:hint="cs"/>
          <w:b/>
          <w:bCs/>
          <w:noProof w:val="0"/>
          <w:sz w:val="30"/>
          <w:szCs w:val="32"/>
          <w:rtl/>
          <w:lang w:val="en-GB" w:bidi="ar-EG"/>
        </w:rPr>
        <w:t xml:space="preserve">التوصية </w:t>
      </w:r>
      <w:r w:rsidR="006D0727">
        <w:rPr>
          <w:rFonts w:hint="cs"/>
          <w:b/>
          <w:bCs/>
          <w:noProof w:val="0"/>
          <w:sz w:val="30"/>
          <w:szCs w:val="32"/>
          <w:rtl/>
          <w:lang w:val="en-GB" w:bidi="ar-EG"/>
        </w:rPr>
        <w:t>2</w:t>
      </w:r>
    </w:p>
    <w:p w:rsidR="006E3916" w:rsidRDefault="00BC5D37" w:rsidP="006E391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ينبغي للحكومات أن تشجِّع سلطاتها المختصة بإنفاذ القانون على المواظبة على الاستفادة من قدرات المنظمات والمراكز القائمة المعنية بالتعاون الإقليمي والدولي على إنفاذ القانون، ومنها مثلاً خلية التخطيط المشتركة والمركز الإقليمي للمعلومات والتنسيق في آسيا الوسطى ومركز المعلومات الجنائية لمكافحة المخدِّرات التابع لمجلس التعاون لدول الخليج العربية وغيرها، وذلك بطرائق منها عقد اجتماعات منتظمة بين الضباط المعنيين بالقضايا الجارية</w:t>
      </w:r>
      <w:r>
        <w:rPr>
          <w:rFonts w:eastAsia="Calibri"/>
          <w:rtl/>
          <w:lang w:val="en-GB" w:eastAsia="zh-TW"/>
        </w:rPr>
        <w:t>.</w:t>
      </w:r>
      <w:r w:rsidRPr="007A279D">
        <w:rPr>
          <w:rFonts w:eastAsia="Calibri"/>
          <w:rtl/>
          <w:lang w:val="en-GB" w:eastAsia="zh-TW"/>
        </w:rPr>
        <w:t xml:space="preserve"> وينبغي تشجيع التعاون بين هذه المراكز في إطار "مبادرة الربط بين الشبكات" التابعة لمكتب الأمم المتحدة المعني بالمخدِّرات والجريمة (مكتب ال</w:t>
      </w:r>
      <w:r w:rsidR="00462CB8">
        <w:rPr>
          <w:rFonts w:eastAsia="Calibri"/>
          <w:rtl/>
          <w:lang w:val="en-GB" w:eastAsia="zh-TW"/>
        </w:rPr>
        <w:t>مخدِّرات</w:t>
      </w:r>
      <w:r w:rsidRPr="007A279D">
        <w:rPr>
          <w:rFonts w:eastAsia="Calibri"/>
          <w:rtl/>
          <w:lang w:val="en-GB" w:eastAsia="zh-TW"/>
        </w:rPr>
        <w:t xml:space="preserve"> والجريمة أو المكتب) من أجل تيسير التعاون الأقاليمي على تبادل المعلومات الاستخبارية الجنائية وتنسيق العمليات المتعددة الأطراف</w:t>
      </w:r>
      <w:r>
        <w:rPr>
          <w:rFonts w:eastAsia="Calibri"/>
          <w:rtl/>
          <w:lang w:val="en-GB" w:eastAsia="zh-TW"/>
        </w:rPr>
        <w:t>.</w:t>
      </w:r>
      <w:r w:rsidRPr="007A279D">
        <w:rPr>
          <w:rFonts w:eastAsia="Calibri"/>
          <w:rtl/>
          <w:lang w:val="en-GB" w:eastAsia="zh-TW"/>
        </w:rPr>
        <w:t xml:space="preserve"> وينبغي لهذه المراكز المعنية بالتعاون الإقليمي على إنفاذ القانون أن توضح خدماتها للدول الأعضاء في اللجنة الفرعية وتعرضها عليها وأن تقدِّم إليها معلومات محدَّثة عن قدراتها</w:t>
      </w:r>
      <w:r w:rsidR="005D5E78">
        <w:rPr>
          <w:rFonts w:hint="cs"/>
          <w:rtl/>
          <w:lang w:eastAsia="en-GB"/>
        </w:rPr>
        <w:t>.</w:t>
      </w:r>
    </w:p>
    <w:p w:rsidR="005D5E78" w:rsidRPr="005D5E78" w:rsidRDefault="005D5E78" w:rsidP="005D5E78">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5D5E78" w:rsidRPr="005D5E78" w:rsidRDefault="005D5E78" w:rsidP="005D5E78">
      <w:pPr>
        <w:pStyle w:val="SingleTxt"/>
        <w:spacing w:after="0" w:line="120" w:lineRule="exact"/>
        <w:jc w:val="both"/>
        <w:rPr>
          <w:noProof w:val="0"/>
          <w:sz w:val="12"/>
          <w:rtl/>
          <w:lang w:val="en-GB"/>
        </w:rPr>
      </w:pPr>
    </w:p>
    <w:p w:rsidR="00F50FB5" w:rsidRPr="00FE1F33" w:rsidRDefault="00F50FB5" w:rsidP="005D5E78">
      <w:pPr>
        <w:pStyle w:val="SingleTxt"/>
        <w:ind w:left="0" w:right="0"/>
        <w:rPr>
          <w:noProof w:val="0"/>
          <w:sz w:val="28"/>
          <w:szCs w:val="28"/>
          <w:rtl/>
          <w:lang w:val="en-GB"/>
        </w:rPr>
      </w:pPr>
      <w:r w:rsidRPr="00FE1F33">
        <w:rPr>
          <w:rFonts w:hint="cs"/>
          <w:noProof w:val="0"/>
          <w:sz w:val="28"/>
          <w:szCs w:val="28"/>
          <w:rtl/>
          <w:lang w:val="en-GB"/>
        </w:rPr>
        <w:t>يرجى التوضيح:</w:t>
      </w:r>
    </w:p>
    <w:p w:rsidR="00F50FB5" w:rsidRDefault="00F50FB5" w:rsidP="00F50FB5">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5D5E78" w:rsidRDefault="005D5E78"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b/>
          <w:bCs/>
          <w:noProof w:val="0"/>
          <w:sz w:val="28"/>
          <w:szCs w:val="28"/>
          <w:rtl/>
          <w:lang w:val="en-GB"/>
        </w:rPr>
      </w:pPr>
    </w:p>
    <w:p w:rsidR="00F50FB5" w:rsidRPr="005D5E78" w:rsidRDefault="00F50FB5" w:rsidP="00F50FB5">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105050" w:rsidRDefault="00105050">
      <w:pPr>
        <w:rPr>
          <w:rFonts w:cs="Traditional Arabic"/>
          <w:b/>
          <w:bCs/>
          <w:w w:val="103"/>
          <w:kern w:val="14"/>
          <w:sz w:val="28"/>
          <w:szCs w:val="30"/>
          <w:rtl/>
          <w:lang w:val="en-GB" w:bidi="ar-EG"/>
        </w:rPr>
      </w:pPr>
    </w:p>
    <w:p w:rsidR="00A23B28" w:rsidRPr="00D607AE" w:rsidRDefault="00A23B28"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6D0727" w:rsidRPr="00D607AE">
        <w:rPr>
          <w:rFonts w:hint="cs"/>
          <w:b/>
          <w:bCs/>
          <w:noProof w:val="0"/>
          <w:sz w:val="30"/>
          <w:szCs w:val="32"/>
          <w:rtl/>
          <w:lang w:val="en-GB" w:bidi="ar-EG"/>
        </w:rPr>
        <w:t>3</w:t>
      </w:r>
    </w:p>
    <w:p w:rsidR="00C75439" w:rsidRDefault="00BC5D37" w:rsidP="00BC5D37">
      <w:pPr>
        <w:pStyle w:val="SingleTxt"/>
        <w:pBdr>
          <w:top w:val="single" w:sz="4" w:space="4" w:color="auto"/>
          <w:left w:val="single" w:sz="4" w:space="1" w:color="auto"/>
          <w:bottom w:val="single" w:sz="4" w:space="6" w:color="auto"/>
          <w:right w:val="single" w:sz="4" w:space="1" w:color="auto"/>
        </w:pBdr>
        <w:ind w:left="0" w:right="0"/>
        <w:jc w:val="both"/>
        <w:textDirection w:val="tbRlV"/>
        <w:rPr>
          <w:rtl/>
          <w:lang w:eastAsia="en-GB"/>
        </w:rPr>
      </w:pPr>
      <w:r w:rsidRPr="007A279D">
        <w:rPr>
          <w:rFonts w:eastAsia="Calibri"/>
          <w:rtl/>
          <w:lang w:val="en-GB" w:eastAsia="zh-TW"/>
        </w:rPr>
        <w:t>ينبغي للحكومات أن تشجِّع مؤسساتها المعنية بتدريب وتعليم موظفي إنفاذ القانون على التعاون على الصعيدين الإقليمي والدولي، بما يشمل التعاون من خلال مبادرة</w:t>
      </w:r>
      <w:r>
        <w:rPr>
          <w:rFonts w:eastAsia="Calibri"/>
          <w:rtl/>
          <w:lang w:val="en-GB" w:eastAsia="zh-TW"/>
        </w:rPr>
        <w:t xml:space="preserve"> </w:t>
      </w:r>
      <w:r w:rsidRPr="007A279D">
        <w:rPr>
          <w:rFonts w:eastAsia="Calibri"/>
          <w:rtl/>
          <w:lang w:val="en-GB" w:eastAsia="zh-TW"/>
        </w:rPr>
        <w:t>"شبكة</w:t>
      </w:r>
      <w:r>
        <w:rPr>
          <w:rFonts w:eastAsia="Calibri"/>
          <w:rtl/>
          <w:lang w:val="en-GB" w:eastAsia="zh-TW"/>
        </w:rPr>
        <w:t xml:space="preserve"> </w:t>
      </w:r>
      <w:r w:rsidRPr="007A279D">
        <w:rPr>
          <w:rFonts w:eastAsia="Calibri"/>
          <w:rtl/>
          <w:lang w:val="en-GB" w:eastAsia="zh-TW"/>
        </w:rPr>
        <w:t>مؤسسات التدريب</w:t>
      </w:r>
      <w:r>
        <w:rPr>
          <w:rFonts w:eastAsia="Calibri"/>
          <w:rtl/>
          <w:lang w:val="en-GB" w:eastAsia="zh-TW"/>
        </w:rPr>
        <w:t xml:space="preserve"> </w:t>
      </w:r>
      <w:r w:rsidRPr="007A279D">
        <w:rPr>
          <w:rFonts w:eastAsia="Calibri"/>
          <w:rtl/>
          <w:lang w:val="en-GB" w:eastAsia="zh-TW"/>
        </w:rPr>
        <w:t>على إنفاذ القانون" التابعة لمكتب ال</w:t>
      </w:r>
      <w:r w:rsidR="00462CB8">
        <w:rPr>
          <w:rFonts w:eastAsia="Calibri"/>
          <w:rtl/>
          <w:lang w:val="en-GB" w:eastAsia="zh-TW"/>
        </w:rPr>
        <w:t>مخدِّرات</w:t>
      </w:r>
      <w:r w:rsidRPr="007A279D">
        <w:rPr>
          <w:rFonts w:eastAsia="Calibri"/>
          <w:rtl/>
          <w:lang w:val="en-GB" w:eastAsia="zh-TW"/>
        </w:rPr>
        <w:t xml:space="preserve"> والجريمة، من</w:t>
      </w:r>
      <w:r>
        <w:rPr>
          <w:rFonts w:eastAsia="Calibri"/>
          <w:rtl/>
          <w:lang w:val="en-GB" w:eastAsia="zh-TW"/>
        </w:rPr>
        <w:t xml:space="preserve"> </w:t>
      </w:r>
      <w:r w:rsidRPr="007A279D">
        <w:rPr>
          <w:rFonts w:eastAsia="Calibri"/>
          <w:rtl/>
          <w:lang w:val="en-GB" w:eastAsia="zh-TW"/>
        </w:rPr>
        <w:t>أجل تيسير</w:t>
      </w:r>
      <w:r>
        <w:rPr>
          <w:rFonts w:eastAsia="Calibri"/>
          <w:rtl/>
          <w:lang w:val="en-GB" w:eastAsia="zh-TW"/>
        </w:rPr>
        <w:t xml:space="preserve"> </w:t>
      </w:r>
      <w:r w:rsidRPr="007A279D">
        <w:rPr>
          <w:rFonts w:eastAsia="Calibri"/>
          <w:rtl/>
          <w:lang w:val="en-GB" w:eastAsia="zh-TW"/>
        </w:rPr>
        <w:t>تبادل المناهج</w:t>
      </w:r>
      <w:r>
        <w:rPr>
          <w:rFonts w:eastAsia="Calibri"/>
          <w:rtl/>
          <w:lang w:val="en-GB" w:eastAsia="zh-TW"/>
        </w:rPr>
        <w:t xml:space="preserve"> </w:t>
      </w:r>
      <w:r w:rsidRPr="007A279D">
        <w:rPr>
          <w:rFonts w:eastAsia="Calibri"/>
          <w:rtl/>
          <w:lang w:val="en-GB" w:eastAsia="zh-TW"/>
        </w:rPr>
        <w:t>الدراسية ومواد التدريب والمنهجيات والممارسات الجيِّدة</w:t>
      </w:r>
      <w:r w:rsidR="005D5E78">
        <w:rPr>
          <w:rFonts w:eastAsia="Calibri" w:hint="cs"/>
          <w:rtl/>
          <w:lang w:val="en-GB" w:eastAsia="zh-TW"/>
        </w:rPr>
        <w:t>.</w:t>
      </w:r>
    </w:p>
    <w:p w:rsidR="006E3916" w:rsidRPr="00197C36"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textDirection w:val="tbRlV"/>
        <w:rPr>
          <w:rtl/>
          <w:lang w:eastAsia="en-GB"/>
        </w:rPr>
      </w:pPr>
    </w:p>
    <w:p w:rsidR="005D5E78" w:rsidRPr="005D5E78" w:rsidRDefault="005D5E78" w:rsidP="005D5E78">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5D5E78" w:rsidRPr="005D5E78" w:rsidRDefault="005D5E78" w:rsidP="005D5E78">
      <w:pPr>
        <w:pStyle w:val="SingleTxt"/>
        <w:spacing w:after="0" w:line="120" w:lineRule="exact"/>
        <w:jc w:val="both"/>
        <w:rPr>
          <w:noProof w:val="0"/>
          <w:sz w:val="12"/>
          <w:rtl/>
          <w:lang w:val="en-GB"/>
        </w:rPr>
      </w:pPr>
    </w:p>
    <w:p w:rsidR="00056E89" w:rsidRPr="00FE1F33" w:rsidRDefault="00056E89" w:rsidP="005D5E78">
      <w:pPr>
        <w:pStyle w:val="SingleTxt"/>
        <w:spacing w:before="240"/>
        <w:ind w:left="0" w:right="0"/>
        <w:rPr>
          <w:noProof w:val="0"/>
          <w:sz w:val="28"/>
          <w:szCs w:val="28"/>
          <w:rtl/>
          <w:lang w:val="en-GB"/>
        </w:rPr>
      </w:pPr>
      <w:r w:rsidRPr="00FE1F33">
        <w:rPr>
          <w:rFonts w:hint="cs"/>
          <w:noProof w:val="0"/>
          <w:sz w:val="28"/>
          <w:szCs w:val="28"/>
          <w:rtl/>
          <w:lang w:val="en-GB"/>
        </w:rPr>
        <w:t>يرجى التوضيح:</w:t>
      </w: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5D5E78" w:rsidRDefault="005D5E78"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FF557F" w:rsidRPr="005D5E78" w:rsidRDefault="00FF557F" w:rsidP="005D5E78">
      <w:pPr>
        <w:bidi/>
        <w:rPr>
          <w:rtl/>
          <w:lang w:val="en-GB" w:bidi="ar-EG"/>
        </w:rPr>
      </w:pPr>
    </w:p>
    <w:p w:rsidR="00056E89" w:rsidRDefault="00056E89" w:rsidP="005D5E78">
      <w:pPr>
        <w:bidi/>
        <w:rPr>
          <w:rtl/>
          <w:lang w:val="en-GB" w:bidi="ar-EG"/>
        </w:rPr>
      </w:pPr>
    </w:p>
    <w:p w:rsidR="005D5E78" w:rsidRDefault="005D5E78" w:rsidP="005D5E78">
      <w:pPr>
        <w:bidi/>
        <w:rPr>
          <w:rtl/>
          <w:lang w:val="en-GB" w:bidi="ar-EG"/>
        </w:rPr>
      </w:pPr>
    </w:p>
    <w:p w:rsidR="00A23B28" w:rsidRPr="00D607AE" w:rsidRDefault="005B39D6"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6D0727" w:rsidRPr="00D607AE">
        <w:rPr>
          <w:rFonts w:hint="cs"/>
          <w:b/>
          <w:bCs/>
          <w:noProof w:val="0"/>
          <w:sz w:val="30"/>
          <w:szCs w:val="32"/>
          <w:rtl/>
          <w:lang w:val="en-GB" w:bidi="ar-EG"/>
        </w:rPr>
        <w:t>4</w:t>
      </w:r>
    </w:p>
    <w:p w:rsidR="00A23B28" w:rsidRDefault="00BC5D37" w:rsidP="00BC5D37">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ينبغي التشجيع بقوة على التعاون الوثيق بين أجهزة إنفاذ القانون ووحدات الاستخبارات المالية من أجل استهداف وتفكيك شبكة التدفقات المالية غير المشروعة المتأتية من الاتِّجار غير المشروع بال</w:t>
      </w:r>
      <w:r w:rsidR="00462CB8">
        <w:rPr>
          <w:rFonts w:eastAsia="Calibri"/>
          <w:rtl/>
          <w:lang w:val="en-GB" w:eastAsia="zh-TW"/>
        </w:rPr>
        <w:t>مخدِّرات</w:t>
      </w:r>
      <w:r w:rsidRPr="007A279D">
        <w:rPr>
          <w:rFonts w:eastAsia="Calibri"/>
          <w:rtl/>
          <w:lang w:val="en-GB" w:eastAsia="zh-TW"/>
        </w:rPr>
        <w:t xml:space="preserve"> بمزيد من الفعالية</w:t>
      </w:r>
      <w:r w:rsidR="005D5E78">
        <w:rPr>
          <w:rFonts w:hint="cs"/>
          <w:rtl/>
          <w:lang w:eastAsia="en-GB"/>
        </w:rPr>
        <w:t>.</w:t>
      </w:r>
    </w:p>
    <w:p w:rsidR="006E3916" w:rsidRPr="00197C36"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5D5E78" w:rsidRPr="005D5E78" w:rsidRDefault="005D5E78" w:rsidP="005D5E78">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5D5E78" w:rsidRPr="005D5E78" w:rsidRDefault="005D5E78" w:rsidP="005D5E78">
      <w:pPr>
        <w:pStyle w:val="SingleTxt"/>
        <w:spacing w:after="0" w:line="120" w:lineRule="exact"/>
        <w:jc w:val="both"/>
        <w:rPr>
          <w:noProof w:val="0"/>
          <w:sz w:val="12"/>
          <w:rtl/>
          <w:lang w:val="en-GB"/>
        </w:rPr>
      </w:pPr>
    </w:p>
    <w:p w:rsidR="00056E89" w:rsidRPr="00FE1F33" w:rsidRDefault="00056E89" w:rsidP="005D5E78">
      <w:pPr>
        <w:pStyle w:val="SingleTxt"/>
        <w:spacing w:before="240"/>
        <w:ind w:left="0" w:right="0"/>
        <w:rPr>
          <w:noProof w:val="0"/>
          <w:sz w:val="28"/>
          <w:szCs w:val="28"/>
          <w:rtl/>
          <w:lang w:val="en-GB"/>
        </w:rPr>
      </w:pPr>
      <w:r w:rsidRPr="00FE1F33">
        <w:rPr>
          <w:rFonts w:hint="cs"/>
          <w:noProof w:val="0"/>
          <w:sz w:val="28"/>
          <w:szCs w:val="28"/>
          <w:rtl/>
          <w:lang w:val="en-GB"/>
        </w:rPr>
        <w:t>يرجى التوضيح:</w:t>
      </w: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5D5E78" w:rsidRDefault="005D5E78"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5D5E78" w:rsidRPr="00462CB8" w:rsidRDefault="005D5E78" w:rsidP="00056E89">
      <w:pPr>
        <w:pStyle w:val="SingleTxt"/>
        <w:pBdr>
          <w:top w:val="single" w:sz="4" w:space="1" w:color="auto"/>
          <w:left w:val="single" w:sz="4" w:space="1" w:color="auto"/>
          <w:bottom w:val="single" w:sz="4" w:space="1" w:color="auto"/>
          <w:right w:val="single" w:sz="4" w:space="1" w:color="auto"/>
        </w:pBdr>
        <w:ind w:left="0" w:right="0"/>
        <w:rPr>
          <w:rtl/>
        </w:rPr>
      </w:pPr>
    </w:p>
    <w:p w:rsidR="00462CB8" w:rsidRDefault="00462CB8">
      <w:r>
        <w:br w:type="page"/>
      </w:r>
    </w:p>
    <w:p w:rsidR="00A23B28" w:rsidRPr="00D607AE" w:rsidRDefault="00A23B28" w:rsidP="00D607AE">
      <w:pPr>
        <w:pStyle w:val="SingleTxt"/>
        <w:keepNe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sidR="006D0727" w:rsidRPr="00D607AE">
        <w:rPr>
          <w:rFonts w:hint="cs"/>
          <w:b/>
          <w:bCs/>
          <w:noProof w:val="0"/>
          <w:sz w:val="30"/>
          <w:szCs w:val="32"/>
          <w:rtl/>
          <w:lang w:val="en-GB" w:bidi="ar-EG"/>
        </w:rPr>
        <w:t>5</w:t>
      </w:r>
    </w:p>
    <w:p w:rsidR="00A23B28" w:rsidRDefault="00BC5D37" w:rsidP="00BC5D37">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ينبغي للحكومات أن تنظر في إنشاء منابر إقليمية لسلطات الادعاء العام</w:t>
      </w:r>
      <w:r>
        <w:rPr>
          <w:rFonts w:eastAsia="Calibri"/>
          <w:rtl/>
          <w:lang w:val="en-GB" w:eastAsia="zh-TW"/>
        </w:rPr>
        <w:t xml:space="preserve"> </w:t>
      </w:r>
      <w:r w:rsidRPr="007A279D">
        <w:rPr>
          <w:rFonts w:eastAsia="Calibri"/>
          <w:rtl/>
          <w:lang w:val="en-GB" w:eastAsia="zh-TW"/>
        </w:rPr>
        <w:t>و/أو</w:t>
      </w:r>
      <w:r>
        <w:rPr>
          <w:rFonts w:eastAsia="Calibri"/>
          <w:rtl/>
          <w:lang w:val="en-GB" w:eastAsia="zh-TW"/>
        </w:rPr>
        <w:t xml:space="preserve"> </w:t>
      </w:r>
      <w:r w:rsidRPr="007A279D">
        <w:rPr>
          <w:rFonts w:eastAsia="Calibri"/>
          <w:rtl/>
          <w:lang w:val="en-GB" w:eastAsia="zh-TW"/>
        </w:rPr>
        <w:t>تدعيم</w:t>
      </w:r>
      <w:r>
        <w:rPr>
          <w:rFonts w:eastAsia="Calibri"/>
          <w:rtl/>
          <w:lang w:val="en-GB" w:eastAsia="zh-TW"/>
        </w:rPr>
        <w:t xml:space="preserve"> </w:t>
      </w:r>
      <w:r w:rsidRPr="007A279D">
        <w:rPr>
          <w:rFonts w:eastAsia="Calibri"/>
          <w:rtl/>
          <w:lang w:val="en-GB" w:eastAsia="zh-TW"/>
        </w:rPr>
        <w:t>المنابر</w:t>
      </w:r>
      <w:r>
        <w:rPr>
          <w:rFonts w:eastAsia="Calibri"/>
          <w:rtl/>
          <w:lang w:val="en-GB" w:eastAsia="zh-TW"/>
        </w:rPr>
        <w:t xml:space="preserve"> </w:t>
      </w:r>
      <w:r w:rsidRPr="007A279D">
        <w:rPr>
          <w:rFonts w:eastAsia="Calibri"/>
          <w:rtl/>
          <w:lang w:val="en-GB" w:eastAsia="zh-TW"/>
        </w:rPr>
        <w:t>القائمة</w:t>
      </w:r>
      <w:r>
        <w:rPr>
          <w:rFonts w:eastAsia="Calibri"/>
          <w:rtl/>
          <w:lang w:val="en-GB" w:eastAsia="zh-TW"/>
        </w:rPr>
        <w:t xml:space="preserve"> </w:t>
      </w:r>
      <w:r w:rsidRPr="007A279D">
        <w:rPr>
          <w:rFonts w:eastAsia="Calibri"/>
          <w:rtl/>
          <w:lang w:val="en-GB" w:eastAsia="zh-TW"/>
        </w:rPr>
        <w:t>من</w:t>
      </w:r>
      <w:r>
        <w:rPr>
          <w:rFonts w:eastAsia="Calibri"/>
          <w:rtl/>
          <w:lang w:val="en-GB" w:eastAsia="zh-TW"/>
        </w:rPr>
        <w:t xml:space="preserve"> </w:t>
      </w:r>
      <w:r w:rsidRPr="007A279D">
        <w:rPr>
          <w:rFonts w:eastAsia="Calibri"/>
          <w:rtl/>
          <w:lang w:val="en-GB" w:eastAsia="zh-TW"/>
        </w:rPr>
        <w:t>أجل</w:t>
      </w:r>
      <w:r>
        <w:rPr>
          <w:rFonts w:eastAsia="Calibri"/>
          <w:rtl/>
          <w:lang w:val="en-GB" w:eastAsia="zh-TW"/>
        </w:rPr>
        <w:t xml:space="preserve"> </w:t>
      </w:r>
      <w:r w:rsidRPr="007A279D">
        <w:rPr>
          <w:rFonts w:eastAsia="Calibri"/>
          <w:rtl/>
          <w:lang w:val="en-GB" w:eastAsia="zh-TW"/>
        </w:rPr>
        <w:t>تيسير</w:t>
      </w:r>
      <w:r>
        <w:rPr>
          <w:rFonts w:eastAsia="Calibri"/>
          <w:rtl/>
          <w:lang w:val="en-GB" w:eastAsia="zh-TW"/>
        </w:rPr>
        <w:t xml:space="preserve"> </w:t>
      </w:r>
      <w:r w:rsidRPr="007A279D">
        <w:rPr>
          <w:rFonts w:eastAsia="Calibri"/>
          <w:rtl/>
          <w:lang w:val="en-GB" w:eastAsia="zh-TW"/>
        </w:rPr>
        <w:t>التعاون</w:t>
      </w:r>
      <w:r>
        <w:rPr>
          <w:rFonts w:eastAsia="Calibri"/>
          <w:rtl/>
          <w:lang w:val="en-GB" w:eastAsia="zh-TW"/>
        </w:rPr>
        <w:t xml:space="preserve"> </w:t>
      </w:r>
      <w:r w:rsidRPr="007A279D">
        <w:rPr>
          <w:rFonts w:eastAsia="Calibri"/>
          <w:rtl/>
          <w:lang w:val="en-GB" w:eastAsia="zh-TW"/>
        </w:rPr>
        <w:t>غير</w:t>
      </w:r>
      <w:r>
        <w:rPr>
          <w:rFonts w:eastAsia="Calibri"/>
          <w:rtl/>
          <w:lang w:val="en-GB" w:eastAsia="zh-TW"/>
        </w:rPr>
        <w:t xml:space="preserve"> </w:t>
      </w:r>
      <w:r w:rsidRPr="007A279D">
        <w:rPr>
          <w:rFonts w:eastAsia="Calibri"/>
          <w:rtl/>
          <w:lang w:val="en-GB" w:eastAsia="zh-TW"/>
        </w:rPr>
        <w:t>الرسمي</w:t>
      </w:r>
      <w:r>
        <w:rPr>
          <w:rFonts w:eastAsia="Calibri"/>
          <w:rtl/>
          <w:lang w:val="en-GB" w:eastAsia="zh-TW"/>
        </w:rPr>
        <w:t xml:space="preserve"> </w:t>
      </w:r>
      <w:r w:rsidRPr="007A279D">
        <w:rPr>
          <w:rFonts w:eastAsia="Calibri"/>
          <w:rtl/>
          <w:lang w:val="en-GB" w:eastAsia="zh-TW"/>
        </w:rPr>
        <w:t>على</w:t>
      </w:r>
      <w:r>
        <w:rPr>
          <w:rFonts w:eastAsia="Calibri"/>
          <w:rtl/>
          <w:lang w:val="en-GB" w:eastAsia="zh-TW"/>
        </w:rPr>
        <w:t xml:space="preserve"> </w:t>
      </w:r>
      <w:r w:rsidRPr="007A279D">
        <w:rPr>
          <w:rFonts w:eastAsia="Calibri"/>
          <w:rtl/>
          <w:lang w:val="en-GB" w:eastAsia="zh-TW"/>
        </w:rPr>
        <w:t>معالجة</w:t>
      </w:r>
      <w:r>
        <w:rPr>
          <w:rFonts w:eastAsia="Calibri"/>
          <w:rtl/>
          <w:lang w:val="en-GB" w:eastAsia="zh-TW"/>
        </w:rPr>
        <w:t xml:space="preserve"> </w:t>
      </w:r>
      <w:r w:rsidRPr="007A279D">
        <w:rPr>
          <w:rFonts w:eastAsia="Calibri"/>
          <w:rtl/>
          <w:lang w:val="en-GB" w:eastAsia="zh-TW"/>
        </w:rPr>
        <w:t>المسائل</w:t>
      </w:r>
      <w:r>
        <w:rPr>
          <w:rFonts w:eastAsia="Calibri"/>
          <w:rtl/>
          <w:lang w:val="en-GB" w:eastAsia="zh-TW"/>
        </w:rPr>
        <w:t xml:space="preserve"> </w:t>
      </w:r>
      <w:r w:rsidRPr="007A279D">
        <w:rPr>
          <w:rFonts w:eastAsia="Calibri"/>
          <w:rtl/>
          <w:lang w:val="en-GB" w:eastAsia="zh-TW"/>
        </w:rPr>
        <w:t>القانونية</w:t>
      </w:r>
      <w:r>
        <w:rPr>
          <w:rFonts w:eastAsia="Calibri"/>
          <w:rtl/>
          <w:lang w:val="en-GB" w:eastAsia="zh-TW"/>
        </w:rPr>
        <w:t xml:space="preserve"> </w:t>
      </w:r>
      <w:r w:rsidRPr="007A279D">
        <w:rPr>
          <w:rFonts w:eastAsia="Calibri"/>
          <w:rtl/>
          <w:lang w:val="en-GB" w:eastAsia="zh-TW"/>
        </w:rPr>
        <w:t>المتصلة</w:t>
      </w:r>
      <w:r>
        <w:rPr>
          <w:rFonts w:eastAsia="Calibri"/>
          <w:rtl/>
          <w:lang w:val="en-GB" w:eastAsia="zh-TW"/>
        </w:rPr>
        <w:t xml:space="preserve"> </w:t>
      </w:r>
      <w:r w:rsidRPr="007A279D">
        <w:rPr>
          <w:rFonts w:eastAsia="Calibri"/>
          <w:rtl/>
          <w:lang w:val="en-GB" w:eastAsia="zh-TW"/>
        </w:rPr>
        <w:t>بالتحقيق</w:t>
      </w:r>
      <w:r>
        <w:rPr>
          <w:rFonts w:eastAsia="Calibri"/>
          <w:rtl/>
          <w:lang w:val="en-GB" w:eastAsia="zh-TW"/>
        </w:rPr>
        <w:t xml:space="preserve"> </w:t>
      </w:r>
      <w:r w:rsidRPr="007A279D">
        <w:rPr>
          <w:rFonts w:eastAsia="Calibri"/>
          <w:rtl/>
          <w:lang w:val="en-GB" w:eastAsia="zh-TW"/>
        </w:rPr>
        <w:t>في</w:t>
      </w:r>
      <w:r>
        <w:rPr>
          <w:rFonts w:eastAsia="Calibri"/>
          <w:rtl/>
          <w:lang w:val="en-GB" w:eastAsia="zh-TW"/>
        </w:rPr>
        <w:t xml:space="preserve"> </w:t>
      </w:r>
      <w:r w:rsidRPr="007A279D">
        <w:rPr>
          <w:rFonts w:eastAsia="Calibri"/>
          <w:rtl/>
          <w:lang w:val="en-GB" w:eastAsia="zh-TW"/>
        </w:rPr>
        <w:t>القضايا</w:t>
      </w:r>
      <w:r>
        <w:rPr>
          <w:rFonts w:eastAsia="Calibri"/>
          <w:rtl/>
          <w:lang w:val="en-GB" w:eastAsia="zh-TW"/>
        </w:rPr>
        <w:t xml:space="preserve"> </w:t>
      </w:r>
      <w:r w:rsidRPr="007A279D">
        <w:rPr>
          <w:rFonts w:eastAsia="Calibri"/>
          <w:rtl/>
          <w:lang w:val="en-GB" w:eastAsia="zh-TW"/>
        </w:rPr>
        <w:t>التي</w:t>
      </w:r>
      <w:r>
        <w:rPr>
          <w:rFonts w:eastAsia="Calibri"/>
          <w:rtl/>
          <w:lang w:val="en-GB" w:eastAsia="zh-TW"/>
        </w:rPr>
        <w:t xml:space="preserve"> </w:t>
      </w:r>
      <w:r w:rsidRPr="007A279D">
        <w:rPr>
          <w:rFonts w:eastAsia="Calibri"/>
          <w:rtl/>
          <w:lang w:val="en-GB" w:eastAsia="zh-TW"/>
        </w:rPr>
        <w:t>تدخل</w:t>
      </w:r>
      <w:r>
        <w:rPr>
          <w:rFonts w:eastAsia="Calibri"/>
          <w:rtl/>
          <w:lang w:val="en-GB" w:eastAsia="zh-TW"/>
        </w:rPr>
        <w:t xml:space="preserve"> </w:t>
      </w:r>
      <w:r w:rsidRPr="007A279D">
        <w:rPr>
          <w:rFonts w:eastAsia="Calibri"/>
          <w:rtl/>
          <w:lang w:val="en-GB" w:eastAsia="zh-TW"/>
        </w:rPr>
        <w:t>في</w:t>
      </w:r>
      <w:r>
        <w:rPr>
          <w:rFonts w:eastAsia="Calibri"/>
          <w:rtl/>
          <w:lang w:val="en-GB" w:eastAsia="zh-TW"/>
        </w:rPr>
        <w:t xml:space="preserve"> </w:t>
      </w:r>
      <w:r w:rsidRPr="007A279D">
        <w:rPr>
          <w:rFonts w:eastAsia="Calibri"/>
          <w:rtl/>
          <w:lang w:val="en-GB" w:eastAsia="zh-TW"/>
        </w:rPr>
        <w:t>إطار</w:t>
      </w:r>
      <w:r>
        <w:rPr>
          <w:rFonts w:eastAsia="Calibri"/>
          <w:rtl/>
          <w:lang w:val="en-GB" w:eastAsia="zh-TW"/>
        </w:rPr>
        <w:t xml:space="preserve"> </w:t>
      </w:r>
      <w:r w:rsidRPr="007A279D">
        <w:rPr>
          <w:rFonts w:eastAsia="Calibri"/>
          <w:rtl/>
          <w:lang w:val="en-GB" w:eastAsia="zh-TW"/>
        </w:rPr>
        <w:t>الجريمة</w:t>
      </w:r>
      <w:r>
        <w:rPr>
          <w:rFonts w:eastAsia="Calibri"/>
          <w:rtl/>
          <w:lang w:val="en-GB" w:eastAsia="zh-TW"/>
        </w:rPr>
        <w:t xml:space="preserve"> </w:t>
      </w:r>
      <w:r w:rsidRPr="007A279D">
        <w:rPr>
          <w:rFonts w:eastAsia="Calibri"/>
          <w:rtl/>
          <w:lang w:val="en-GB" w:eastAsia="zh-TW"/>
        </w:rPr>
        <w:t>المنظَّمة،</w:t>
      </w:r>
      <w:r>
        <w:rPr>
          <w:rFonts w:eastAsia="Calibri"/>
          <w:rtl/>
          <w:lang w:val="en-GB" w:eastAsia="zh-TW"/>
        </w:rPr>
        <w:t xml:space="preserve"> </w:t>
      </w:r>
      <w:r w:rsidRPr="007A279D">
        <w:rPr>
          <w:rFonts w:eastAsia="Calibri"/>
          <w:rtl/>
          <w:lang w:val="en-GB" w:eastAsia="zh-TW"/>
        </w:rPr>
        <w:t>بما</w:t>
      </w:r>
      <w:r>
        <w:rPr>
          <w:rFonts w:eastAsia="Calibri"/>
          <w:rtl/>
          <w:lang w:val="en-GB" w:eastAsia="zh-TW"/>
        </w:rPr>
        <w:t xml:space="preserve"> </w:t>
      </w:r>
      <w:r w:rsidRPr="007A279D">
        <w:rPr>
          <w:rFonts w:eastAsia="Calibri"/>
          <w:rtl/>
          <w:lang w:val="en-GB" w:eastAsia="zh-TW"/>
        </w:rPr>
        <w:t>يشمل</w:t>
      </w:r>
      <w:r>
        <w:rPr>
          <w:rFonts w:eastAsia="Calibri"/>
          <w:rtl/>
          <w:lang w:val="en-GB" w:eastAsia="zh-TW"/>
        </w:rPr>
        <w:t xml:space="preserve"> </w:t>
      </w:r>
      <w:r w:rsidRPr="007A279D">
        <w:rPr>
          <w:rFonts w:eastAsia="Calibri"/>
          <w:rtl/>
          <w:lang w:val="en-GB" w:eastAsia="zh-TW"/>
        </w:rPr>
        <w:t>الاتِّجار</w:t>
      </w:r>
      <w:r>
        <w:rPr>
          <w:rFonts w:eastAsia="Calibri"/>
          <w:rtl/>
          <w:lang w:val="en-GB" w:eastAsia="zh-TW"/>
        </w:rPr>
        <w:t xml:space="preserve"> </w:t>
      </w:r>
      <w:r w:rsidRPr="007A279D">
        <w:rPr>
          <w:rFonts w:eastAsia="Calibri"/>
          <w:rtl/>
          <w:lang w:val="en-GB" w:eastAsia="zh-TW"/>
        </w:rPr>
        <w:t>بال</w:t>
      </w:r>
      <w:r w:rsidR="00462CB8">
        <w:rPr>
          <w:rFonts w:eastAsia="Calibri"/>
          <w:rtl/>
          <w:lang w:val="en-GB" w:eastAsia="zh-TW"/>
        </w:rPr>
        <w:t>مخدِّرات</w:t>
      </w:r>
      <w:r w:rsidR="005D5E78">
        <w:rPr>
          <w:rFonts w:hint="cs"/>
          <w:rtl/>
          <w:lang w:eastAsia="en-GB"/>
        </w:rPr>
        <w:t>.</w:t>
      </w:r>
    </w:p>
    <w:p w:rsidR="006E3916" w:rsidRPr="00462CB8"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rPr>
      </w:pPr>
    </w:p>
    <w:p w:rsidR="005D5E78" w:rsidRPr="005D5E78" w:rsidRDefault="005D5E78" w:rsidP="005D5E78">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5D5E78" w:rsidRPr="005D5E78" w:rsidRDefault="005D5E78" w:rsidP="005D5E78">
      <w:pPr>
        <w:pStyle w:val="SingleTxt"/>
        <w:spacing w:after="0" w:line="120" w:lineRule="exact"/>
        <w:jc w:val="both"/>
        <w:rPr>
          <w:noProof w:val="0"/>
          <w:sz w:val="12"/>
          <w:rtl/>
          <w:lang w:val="en-GB"/>
        </w:rPr>
      </w:pP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056E89" w:rsidRDefault="00056E89"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5D5E7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056E89" w:rsidRDefault="00056E89" w:rsidP="00056E89">
      <w:pPr>
        <w:pStyle w:val="SingleTxt"/>
        <w:spacing w:after="0" w:line="120" w:lineRule="exact"/>
        <w:jc w:val="both"/>
        <w:rPr>
          <w:noProof w:val="0"/>
          <w:sz w:val="12"/>
          <w:rtl/>
          <w:lang w:val="en-GB" w:bidi="ar-EG"/>
        </w:rPr>
      </w:pPr>
    </w:p>
    <w:p w:rsidR="00056E89" w:rsidRDefault="00056E89" w:rsidP="00056E89">
      <w:pPr>
        <w:pStyle w:val="SingleTxt"/>
        <w:spacing w:after="0" w:line="120" w:lineRule="exact"/>
        <w:jc w:val="both"/>
        <w:rPr>
          <w:noProof w:val="0"/>
          <w:sz w:val="12"/>
          <w:rtl/>
          <w:lang w:val="en-GB" w:bidi="ar-EG"/>
        </w:rPr>
      </w:pPr>
    </w:p>
    <w:p w:rsidR="005D5E78" w:rsidRDefault="005D5E78" w:rsidP="00BC5D37">
      <w:pPr>
        <w:pStyle w:val="SingleTxt"/>
        <w:pBdr>
          <w:bottom w:val="single" w:sz="4" w:space="1" w:color="auto"/>
        </w:pBdr>
        <w:ind w:left="0" w:right="0"/>
        <w:jc w:val="left"/>
        <w:rPr>
          <w:b/>
          <w:bCs/>
          <w:noProof w:val="0"/>
          <w:sz w:val="36"/>
          <w:szCs w:val="34"/>
          <w:rtl/>
          <w:lang w:val="en-GB" w:bidi="ar-EG"/>
        </w:rPr>
      </w:pPr>
    </w:p>
    <w:p w:rsidR="005D5E78" w:rsidRDefault="005D5E78" w:rsidP="00BC5D37">
      <w:pPr>
        <w:pStyle w:val="SingleTxt"/>
        <w:pBdr>
          <w:bottom w:val="single" w:sz="4" w:space="1" w:color="auto"/>
        </w:pBdr>
        <w:ind w:left="0" w:right="0"/>
        <w:jc w:val="left"/>
        <w:rPr>
          <w:b/>
          <w:bCs/>
          <w:noProof w:val="0"/>
          <w:sz w:val="36"/>
          <w:szCs w:val="34"/>
          <w:rtl/>
          <w:lang w:val="en-GB" w:bidi="ar-EG"/>
        </w:rPr>
      </w:pPr>
    </w:p>
    <w:p w:rsidR="00BC5D37" w:rsidRDefault="00BC5D37" w:rsidP="00BC5D37">
      <w:pPr>
        <w:pStyle w:val="SingleTxt"/>
        <w:pBdr>
          <w:bottom w:val="single" w:sz="4" w:space="1" w:color="auto"/>
        </w:pBdr>
        <w:ind w:left="0" w:right="0"/>
        <w:jc w:val="left"/>
        <w:rPr>
          <w:b/>
          <w:bCs/>
          <w:noProof w:val="0"/>
          <w:sz w:val="36"/>
          <w:szCs w:val="34"/>
          <w:rtl/>
          <w:lang w:val="en-GB"/>
        </w:rPr>
      </w:pPr>
      <w:r>
        <w:rPr>
          <w:rFonts w:hint="cs"/>
          <w:b/>
          <w:bCs/>
          <w:noProof w:val="0"/>
          <w:sz w:val="36"/>
          <w:szCs w:val="34"/>
          <w:rtl/>
          <w:lang w:val="en-GB" w:bidi="ar-EG"/>
        </w:rPr>
        <w:t>المسألة الثانية</w:t>
      </w:r>
    </w:p>
    <w:p w:rsidR="00BC5D37" w:rsidRPr="00BC5D37" w:rsidRDefault="00BC5D37" w:rsidP="00BC5D37">
      <w:pPr>
        <w:pStyle w:val="SingleTxt"/>
        <w:spacing w:after="240"/>
        <w:ind w:left="0" w:right="0"/>
        <w:jc w:val="left"/>
        <w:rPr>
          <w:b/>
          <w:bCs/>
          <w:sz w:val="34"/>
          <w:szCs w:val="34"/>
          <w:rtl/>
        </w:rPr>
      </w:pPr>
      <w:r w:rsidRPr="00BC5D37">
        <w:rPr>
          <w:b/>
          <w:bCs/>
          <w:rtl/>
          <w:lang w:val="en-GB" w:eastAsia="zh-TW"/>
        </w:rPr>
        <w:t>الاتجاهات الراهنة وأساليب العمل في الاتِّجار بالمنشِّطات الأمفيتامينية والمؤثِّرات النفسانية الجديدة والمستحضرات الصيدلانية</w:t>
      </w:r>
    </w:p>
    <w:p w:rsidR="00BC5D37" w:rsidRPr="006E3916" w:rsidRDefault="00BC5D37" w:rsidP="006E3916">
      <w:pPr>
        <w:pStyle w:val="SingleTxt"/>
        <w:tabs>
          <w:tab w:val="clear" w:pos="2592"/>
          <w:tab w:val="clear" w:pos="3917"/>
        </w:tabs>
        <w:spacing w:after="0" w:line="120" w:lineRule="exact"/>
        <w:ind w:left="0" w:right="0"/>
        <w:rPr>
          <w:rtl/>
        </w:rPr>
      </w:pPr>
    </w:p>
    <w:p w:rsidR="00A23B28" w:rsidRPr="00D607AE" w:rsidRDefault="00A23B28" w:rsidP="00D607AE">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sidR="006D0727" w:rsidRPr="00D607AE">
        <w:rPr>
          <w:rFonts w:hint="cs"/>
          <w:b/>
          <w:bCs/>
          <w:noProof w:val="0"/>
          <w:sz w:val="30"/>
          <w:szCs w:val="32"/>
          <w:rtl/>
          <w:lang w:val="en-GB" w:bidi="ar-EG"/>
        </w:rPr>
        <w:t>6</w:t>
      </w:r>
    </w:p>
    <w:p w:rsidR="00A23B28" w:rsidRDefault="00BC5D37" w:rsidP="00BC5D37">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404289">
        <w:rPr>
          <w:rFonts w:eastAsia="Calibri"/>
          <w:w w:val="100"/>
          <w:rtl/>
          <w:lang w:val="en-GB" w:eastAsia="zh-TW"/>
        </w:rPr>
        <w:t>تشجَّع الحكومات على التركيز بقدر أكبر على استبانة مصادر تسريب السلائف الكيميائية و"الكبتاغون" والاتِّجار بهما وكشف المنظمات الإجرامية الكامنة وراء</w:t>
      </w:r>
      <w:r>
        <w:rPr>
          <w:rFonts w:eastAsia="Calibri"/>
          <w:w w:val="100"/>
          <w:rtl/>
          <w:lang w:val="en-GB" w:eastAsia="zh-TW"/>
        </w:rPr>
        <w:t xml:space="preserve"> </w:t>
      </w:r>
      <w:r w:rsidRPr="00404289">
        <w:rPr>
          <w:rFonts w:eastAsia="Calibri"/>
          <w:w w:val="100"/>
          <w:rtl/>
          <w:lang w:val="en-GB" w:eastAsia="zh-TW"/>
        </w:rPr>
        <w:t>ذلك</w:t>
      </w:r>
      <w:r w:rsidR="005D5E78">
        <w:rPr>
          <w:rFonts w:hint="cs"/>
          <w:rtl/>
          <w:lang w:eastAsia="en-GB"/>
        </w:rPr>
        <w:t>.</w:t>
      </w:r>
    </w:p>
    <w:p w:rsidR="006E3916" w:rsidRPr="00197C36"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6E3916" w:rsidRPr="005D5E78" w:rsidRDefault="006E3916" w:rsidP="006E3916">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6E3916" w:rsidRPr="005D5E78" w:rsidRDefault="006E3916" w:rsidP="006E3916">
      <w:pPr>
        <w:pStyle w:val="SingleTxt"/>
        <w:spacing w:after="0" w:line="120" w:lineRule="exact"/>
        <w:jc w:val="both"/>
        <w:rPr>
          <w:noProof w:val="0"/>
          <w:sz w:val="12"/>
          <w:rtl/>
          <w:lang w:val="en-GB"/>
        </w:rPr>
      </w:pP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056E89" w:rsidRDefault="00056E89"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A23B28" w:rsidRPr="00D607AE" w:rsidRDefault="00C45D9A" w:rsidP="006E3916">
      <w:pPr>
        <w:pStyle w:val="SingleTxt"/>
        <w:ind w:left="0" w:right="0"/>
        <w:jc w:val="both"/>
        <w:rPr>
          <w:b/>
          <w:bCs/>
          <w:noProof w:val="0"/>
          <w:sz w:val="30"/>
          <w:szCs w:val="32"/>
          <w:rtl/>
          <w:lang w:val="en-GB" w:bidi="ar-EG"/>
        </w:rPr>
      </w:pPr>
      <w:r>
        <w:rPr>
          <w:b/>
          <w:bCs/>
          <w:sz w:val="36"/>
          <w:szCs w:val="34"/>
          <w:rtl/>
          <w:lang w:val="en-GB" w:bidi="ar-EG"/>
        </w:rPr>
        <w:br w:type="page"/>
      </w:r>
      <w:r w:rsidR="00A23B28" w:rsidRPr="006E3916">
        <w:rPr>
          <w:rFonts w:hint="cs"/>
          <w:b/>
          <w:bCs/>
          <w:noProof w:val="0"/>
          <w:sz w:val="30"/>
          <w:szCs w:val="32"/>
          <w:rtl/>
          <w:lang w:val="en-GB" w:bidi="ar-EG"/>
        </w:rPr>
        <w:lastRenderedPageBreak/>
        <w:t xml:space="preserve">التوصية </w:t>
      </w:r>
      <w:r w:rsidR="006D0727" w:rsidRPr="00D607AE">
        <w:rPr>
          <w:rFonts w:hint="cs"/>
          <w:b/>
          <w:bCs/>
          <w:noProof w:val="0"/>
          <w:sz w:val="30"/>
          <w:szCs w:val="32"/>
          <w:rtl/>
          <w:lang w:val="en-GB" w:bidi="ar-EG"/>
        </w:rPr>
        <w:t>7</w:t>
      </w:r>
    </w:p>
    <w:p w:rsidR="00A23B28" w:rsidRDefault="00BC5D37" w:rsidP="006E391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Pr>
          <w:rFonts w:eastAsia="Calibri"/>
          <w:rtl/>
          <w:lang w:val="en-GB" w:eastAsia="zh-TW"/>
        </w:rPr>
        <w:t xml:space="preserve">يُطلب إلى </w:t>
      </w:r>
      <w:r w:rsidRPr="007A279D">
        <w:rPr>
          <w:rFonts w:eastAsia="Calibri"/>
          <w:rtl/>
          <w:lang w:val="en-GB" w:eastAsia="zh-TW"/>
        </w:rPr>
        <w:t>الحكومات أن تشجع سلطاتها المختصة بإنفاذ قوانين ال</w:t>
      </w:r>
      <w:r w:rsidR="00462CB8">
        <w:rPr>
          <w:rFonts w:eastAsia="Calibri"/>
          <w:rtl/>
          <w:lang w:val="en-GB" w:eastAsia="zh-TW"/>
        </w:rPr>
        <w:t>مخدِّرات</w:t>
      </w:r>
      <w:r w:rsidRPr="007A279D">
        <w:rPr>
          <w:rFonts w:eastAsia="Calibri"/>
          <w:rtl/>
          <w:lang w:val="en-GB" w:eastAsia="zh-TW"/>
        </w:rPr>
        <w:t xml:space="preserve"> وسلطات مراقبة المواد الكيميائية وغيرها من السلطات المعنية على توسيع دائرة التعاون فيما بينها على مراقبة السلائف. وهناك تحديداً حاجة إلى مضاعفة الجهود من أجل إجراء تحقيقات متابعة فعَّالة بشأن المعاملات المشبوهة وعمليات التسريب ومحاولات التسريب والضبطيات، وإلى الاستثمار في التحقيقات المالية</w:t>
      </w:r>
      <w:r w:rsidR="006E3916">
        <w:rPr>
          <w:rFonts w:hint="cs"/>
          <w:rtl/>
          <w:lang w:eastAsia="en-GB"/>
        </w:rPr>
        <w:t>.</w:t>
      </w:r>
    </w:p>
    <w:p w:rsidR="006E3916" w:rsidRPr="00197C36"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6E3916" w:rsidRPr="005D5E78" w:rsidRDefault="006E3916" w:rsidP="006E3916">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6E3916" w:rsidRPr="005D5E78" w:rsidRDefault="006E3916" w:rsidP="006E3916">
      <w:pPr>
        <w:pStyle w:val="SingleTxt"/>
        <w:spacing w:after="0" w:line="120" w:lineRule="exact"/>
        <w:jc w:val="both"/>
        <w:rPr>
          <w:noProof w:val="0"/>
          <w:sz w:val="12"/>
          <w:rtl/>
          <w:lang w:val="en-GB"/>
        </w:rPr>
      </w:pP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056E89" w:rsidRDefault="00056E89"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6E3916" w:rsidRPr="00462CB8" w:rsidRDefault="006E3916" w:rsidP="00056E89">
      <w:pPr>
        <w:pStyle w:val="SingleTxt"/>
        <w:pBdr>
          <w:top w:val="single" w:sz="4" w:space="1" w:color="auto"/>
          <w:left w:val="single" w:sz="4" w:space="1" w:color="auto"/>
          <w:bottom w:val="single" w:sz="4" w:space="1" w:color="auto"/>
          <w:right w:val="single" w:sz="4" w:space="1" w:color="auto"/>
        </w:pBdr>
        <w:ind w:left="0" w:right="0"/>
        <w:rPr>
          <w:rtl/>
        </w:rPr>
      </w:pPr>
    </w:p>
    <w:p w:rsidR="004A1872" w:rsidRDefault="004A1872" w:rsidP="004A1872">
      <w:pPr>
        <w:pStyle w:val="SingleTxt"/>
        <w:spacing w:after="0" w:line="120" w:lineRule="exact"/>
        <w:jc w:val="both"/>
        <w:rPr>
          <w:noProof w:val="0"/>
          <w:sz w:val="12"/>
          <w:rtl/>
          <w:lang w:val="en-GB" w:bidi="ar-EG"/>
        </w:rPr>
      </w:pPr>
    </w:p>
    <w:p w:rsidR="004A1872" w:rsidRDefault="004A1872" w:rsidP="004A1872">
      <w:pPr>
        <w:pStyle w:val="SingleTxt"/>
        <w:spacing w:after="0" w:line="120" w:lineRule="exact"/>
        <w:jc w:val="both"/>
        <w:rPr>
          <w:noProof w:val="0"/>
          <w:sz w:val="12"/>
          <w:rtl/>
          <w:lang w:val="en-GB" w:bidi="ar-EG"/>
        </w:rPr>
      </w:pPr>
    </w:p>
    <w:p w:rsidR="006E3916" w:rsidRDefault="006E3916" w:rsidP="00D607AE">
      <w:pPr>
        <w:pStyle w:val="SingleTxt"/>
        <w:ind w:left="0" w:right="0"/>
        <w:jc w:val="both"/>
        <w:rPr>
          <w:b/>
          <w:bCs/>
          <w:noProof w:val="0"/>
          <w:sz w:val="30"/>
          <w:szCs w:val="32"/>
          <w:rtl/>
          <w:lang w:val="en-GB" w:bidi="ar-EG"/>
        </w:rPr>
      </w:pPr>
    </w:p>
    <w:p w:rsidR="006E3916" w:rsidRDefault="006E3916" w:rsidP="00D607AE">
      <w:pPr>
        <w:pStyle w:val="SingleTxt"/>
        <w:ind w:left="0" w:right="0"/>
        <w:jc w:val="both"/>
        <w:rPr>
          <w:b/>
          <w:bCs/>
          <w:noProof w:val="0"/>
          <w:sz w:val="30"/>
          <w:szCs w:val="32"/>
          <w:rtl/>
          <w:lang w:val="en-GB" w:bidi="ar-EG"/>
        </w:rPr>
      </w:pPr>
    </w:p>
    <w:p w:rsidR="006E3916" w:rsidRPr="00D607AE" w:rsidRDefault="006E3916" w:rsidP="006E3916">
      <w:pPr>
        <w:pStyle w:val="SingleTxt"/>
        <w:ind w:left="0" w:right="0"/>
        <w:jc w:val="both"/>
        <w:rPr>
          <w:b/>
          <w:bCs/>
          <w:noProof w:val="0"/>
          <w:sz w:val="30"/>
          <w:szCs w:val="32"/>
          <w:rtl/>
          <w:lang w:val="en-GB" w:bidi="ar-EG"/>
        </w:rPr>
      </w:pPr>
      <w:r w:rsidRPr="006E3916">
        <w:rPr>
          <w:rFonts w:hint="cs"/>
          <w:b/>
          <w:bCs/>
          <w:noProof w:val="0"/>
          <w:sz w:val="30"/>
          <w:szCs w:val="32"/>
          <w:rtl/>
          <w:lang w:val="en-GB" w:bidi="ar-EG"/>
        </w:rPr>
        <w:t xml:space="preserve">التوصية </w:t>
      </w:r>
      <w:r>
        <w:rPr>
          <w:rFonts w:hint="cs"/>
          <w:b/>
          <w:bCs/>
          <w:noProof w:val="0"/>
          <w:sz w:val="30"/>
          <w:szCs w:val="32"/>
          <w:rtl/>
          <w:lang w:val="en-GB" w:bidi="ar-EG"/>
        </w:rPr>
        <w:t>8</w:t>
      </w:r>
    </w:p>
    <w:p w:rsidR="006E3916" w:rsidRDefault="006E3916" w:rsidP="006E3916">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404289">
        <w:rPr>
          <w:rFonts w:eastAsia="Calibri"/>
          <w:w w:val="100"/>
          <w:rtl/>
          <w:lang w:val="en-GB" w:eastAsia="zh-TW"/>
        </w:rPr>
        <w:t>ينبغي للحكومات، في إطار سعيها للتصدي لأنشطة صنع "الكبتاغون" والسلائف الكيميائية المتصلة به والاتِّجار بهما على نحو غير مشروع، أن تجمع وتتبادل المعلومات بطريقة أكثر منهجية، وأن تستفيد من الأدوات وآليات التنسيق القائمة، مثل نظام الإشعارات السابقة للتصدير بالاتصال الحاسوبي المباشر (نظام</w:t>
      </w:r>
      <w:r>
        <w:rPr>
          <w:rFonts w:eastAsia="Calibri"/>
          <w:w w:val="100"/>
          <w:rtl/>
          <w:lang w:val="en-GB" w:eastAsia="zh-TW"/>
        </w:rPr>
        <w:t xml:space="preserve"> </w:t>
      </w:r>
      <w:r w:rsidRPr="00404289">
        <w:rPr>
          <w:rFonts w:eastAsia="Calibri"/>
          <w:w w:val="100"/>
          <w:rtl/>
          <w:lang w:val="en-GB" w:eastAsia="zh-TW"/>
        </w:rPr>
        <w:t>"بن أونلاين") فيما يتعلق بشحنات التجارة الدولية ونظام الإخطار بحوادث السلائف (نظام "بيكس") للإبلاغ عن الضبطيات وسائر الحوادث غير المشروعة المتعلقة بالسلائف، بغية تبادل المعلومات على الصعيد العالمي ومنع وقوع التسريب في أماكن أخرى</w:t>
      </w:r>
      <w:r>
        <w:rPr>
          <w:rFonts w:hint="cs"/>
          <w:rtl/>
          <w:lang w:eastAsia="en-GB"/>
        </w:rPr>
        <w:t>.</w:t>
      </w:r>
    </w:p>
    <w:p w:rsidR="006E3916" w:rsidRPr="00197C36"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6E3916" w:rsidRPr="005D5E78" w:rsidRDefault="006E3916" w:rsidP="006E3916">
      <w:pPr>
        <w:pStyle w:val="SingleTxt"/>
        <w:tabs>
          <w:tab w:val="clear" w:pos="2592"/>
          <w:tab w:val="clear" w:pos="3917"/>
        </w:tabs>
        <w:spacing w:before="240"/>
        <w:ind w:left="0" w:right="0"/>
        <w:rPr>
          <w:rtl/>
        </w:rPr>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6E3916" w:rsidRPr="005D5E78" w:rsidRDefault="006E3916" w:rsidP="006E3916">
      <w:pPr>
        <w:pStyle w:val="SingleTxt"/>
        <w:spacing w:after="0" w:line="120" w:lineRule="exact"/>
        <w:jc w:val="both"/>
        <w:rPr>
          <w:noProof w:val="0"/>
          <w:sz w:val="12"/>
          <w:rtl/>
          <w:lang w:val="en-GB"/>
        </w:rPr>
      </w:pP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056E89" w:rsidRDefault="00056E89"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056E89" w:rsidRPr="00462CB8" w:rsidRDefault="00056E89" w:rsidP="00056E89">
      <w:pPr>
        <w:pStyle w:val="SingleTxt"/>
        <w:pBdr>
          <w:top w:val="single" w:sz="4" w:space="1" w:color="auto"/>
          <w:left w:val="single" w:sz="4" w:space="1" w:color="auto"/>
          <w:bottom w:val="single" w:sz="4" w:space="1" w:color="auto"/>
          <w:right w:val="single" w:sz="4" w:space="1" w:color="auto"/>
        </w:pBdr>
        <w:ind w:left="0" w:right="0"/>
        <w:rPr>
          <w:rtl/>
        </w:rPr>
      </w:pPr>
    </w:p>
    <w:p w:rsidR="00462CB8" w:rsidRDefault="00462CB8">
      <w:pPr>
        <w:rPr>
          <w:lang w:val="en-GB" w:bidi="ar-EG"/>
        </w:rPr>
      </w:pPr>
      <w:r>
        <w:rPr>
          <w:lang w:val="en-GB" w:bidi="ar-EG"/>
        </w:rPr>
        <w:br w:type="page"/>
      </w:r>
    </w:p>
    <w:p w:rsidR="00A23B28" w:rsidRPr="00D607AE" w:rsidRDefault="00A23B28" w:rsidP="00D607AE">
      <w:pPr>
        <w:pStyle w:val="SingleTxt"/>
        <w:keepNe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sidR="00E642A8" w:rsidRPr="00D607AE">
        <w:rPr>
          <w:rFonts w:hint="cs"/>
          <w:b/>
          <w:bCs/>
          <w:noProof w:val="0"/>
          <w:sz w:val="30"/>
          <w:szCs w:val="32"/>
          <w:rtl/>
          <w:lang w:val="en-GB" w:bidi="ar-EG"/>
        </w:rPr>
        <w:t>9</w:t>
      </w:r>
    </w:p>
    <w:p w:rsidR="00E642A8"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ينبغي للحكومات أن تواصل العمل، بمساعدة من مكتب ال</w:t>
      </w:r>
      <w:r w:rsidR="00462CB8">
        <w:rPr>
          <w:rFonts w:eastAsia="Calibri"/>
          <w:rtl/>
          <w:lang w:val="en-GB" w:eastAsia="zh-TW"/>
        </w:rPr>
        <w:t>مخدِّرات</w:t>
      </w:r>
      <w:r w:rsidRPr="007A279D">
        <w:rPr>
          <w:rFonts w:eastAsia="Calibri"/>
          <w:rtl/>
          <w:lang w:val="en-GB" w:eastAsia="zh-TW"/>
        </w:rPr>
        <w:t xml:space="preserve"> والجريمة والهيئة الدولية لمراقبة ال</w:t>
      </w:r>
      <w:r w:rsidR="00462CB8">
        <w:rPr>
          <w:rFonts w:eastAsia="Calibri"/>
          <w:rtl/>
          <w:lang w:val="en-GB" w:eastAsia="zh-TW"/>
        </w:rPr>
        <w:t>مخدِّرات</w:t>
      </w:r>
      <w:r w:rsidRPr="007A279D">
        <w:rPr>
          <w:rFonts w:eastAsia="Calibri"/>
          <w:rtl/>
          <w:lang w:val="en-GB" w:eastAsia="zh-TW"/>
        </w:rPr>
        <w:t>، حسب الاقتضاء، على تعزيز جهود التعاون الوطني والإقليمي والدولي، والمشاركة في المبادرات العالمية ذات الصلة التي يضطلع بها المكتب والهيئة، وتيسير التعاون في حالات ملموسة، عند الاقتضاء</w:t>
      </w:r>
      <w:r w:rsidR="006E3916">
        <w:rPr>
          <w:rFonts w:hint="cs"/>
          <w:rtl/>
          <w:lang w:eastAsia="en-GB"/>
        </w:rPr>
        <w:t>.</w:t>
      </w:r>
    </w:p>
    <w:p w:rsidR="006E3916" w:rsidRPr="00197C36"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056E89" w:rsidRDefault="006E3916" w:rsidP="00056E89">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6E3916" w:rsidRPr="006E3916" w:rsidRDefault="006E3916" w:rsidP="006E3916">
      <w:pPr>
        <w:pStyle w:val="SingleTxt"/>
        <w:tabs>
          <w:tab w:val="clear" w:pos="2592"/>
          <w:tab w:val="clear" w:pos="3917"/>
        </w:tabs>
        <w:spacing w:after="0" w:line="120" w:lineRule="exact"/>
        <w:ind w:left="0" w:right="0"/>
        <w:rPr>
          <w:rtl/>
        </w:rPr>
      </w:pPr>
    </w:p>
    <w:p w:rsidR="00056E89" w:rsidRPr="00FE1F33" w:rsidRDefault="00056E89" w:rsidP="00056E89">
      <w:pPr>
        <w:pStyle w:val="SingleTxt"/>
        <w:ind w:left="0" w:right="0"/>
        <w:rPr>
          <w:noProof w:val="0"/>
          <w:sz w:val="28"/>
          <w:szCs w:val="28"/>
          <w:rtl/>
          <w:lang w:val="en-GB"/>
        </w:rPr>
      </w:pPr>
      <w:r w:rsidRPr="00FE1F33">
        <w:rPr>
          <w:rFonts w:hint="cs"/>
          <w:noProof w:val="0"/>
          <w:sz w:val="28"/>
          <w:szCs w:val="28"/>
          <w:rtl/>
          <w:lang w:val="en-GB"/>
        </w:rPr>
        <w:t>يرجى التوضيح:</w:t>
      </w: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056E89" w:rsidRDefault="00056E89"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6E3916" w:rsidRPr="006E3916" w:rsidRDefault="006E3916"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056E89" w:rsidRDefault="00056E89" w:rsidP="00056E89">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7E7110" w:rsidRPr="006E3916" w:rsidRDefault="007E7110" w:rsidP="002E453A">
      <w:pPr>
        <w:pStyle w:val="SingleTxt"/>
        <w:spacing w:after="0" w:line="180" w:lineRule="exact"/>
        <w:ind w:left="0" w:right="1264"/>
        <w:jc w:val="both"/>
        <w:rPr>
          <w:noProof w:val="0"/>
          <w:spacing w:val="-2"/>
          <w:w w:val="100"/>
          <w:rtl/>
          <w:lang w:val="en-GB" w:bidi="ar-EG"/>
        </w:rPr>
      </w:pPr>
    </w:p>
    <w:p w:rsidR="006E3916" w:rsidRDefault="006E3916" w:rsidP="006E3916">
      <w:pPr>
        <w:pStyle w:val="SingleTxt"/>
        <w:tabs>
          <w:tab w:val="clear" w:pos="2592"/>
          <w:tab w:val="clear" w:pos="3917"/>
        </w:tabs>
        <w:spacing w:after="0" w:line="120" w:lineRule="exact"/>
        <w:ind w:left="0" w:right="0"/>
        <w:rPr>
          <w:rtl/>
        </w:rPr>
      </w:pPr>
    </w:p>
    <w:p w:rsidR="00D47A00" w:rsidRPr="006E3916" w:rsidRDefault="00D47A00" w:rsidP="006E3916">
      <w:pPr>
        <w:pStyle w:val="SingleTxt"/>
        <w:tabs>
          <w:tab w:val="clear" w:pos="2592"/>
          <w:tab w:val="clear" w:pos="3917"/>
        </w:tabs>
        <w:spacing w:after="0" w:line="120" w:lineRule="exact"/>
        <w:ind w:left="0" w:right="0"/>
        <w:rPr>
          <w:rtl/>
        </w:rPr>
      </w:pPr>
    </w:p>
    <w:p w:rsidR="006E3916" w:rsidRPr="006E3916" w:rsidRDefault="006E3916" w:rsidP="006E3916">
      <w:pPr>
        <w:pStyle w:val="SingleTxt"/>
        <w:tabs>
          <w:tab w:val="clear" w:pos="2592"/>
          <w:tab w:val="clear" w:pos="3917"/>
        </w:tabs>
        <w:spacing w:after="0" w:line="120" w:lineRule="exact"/>
        <w:ind w:left="0" w:right="0"/>
        <w:rPr>
          <w:rtl/>
        </w:rPr>
      </w:pPr>
    </w:p>
    <w:p w:rsidR="006E3916" w:rsidRPr="006E3916" w:rsidRDefault="006E3916" w:rsidP="002E453A">
      <w:pPr>
        <w:pStyle w:val="SingleTxt"/>
        <w:spacing w:after="0" w:line="180" w:lineRule="exact"/>
        <w:ind w:left="0" w:right="1264"/>
        <w:jc w:val="both"/>
        <w:rPr>
          <w:noProof w:val="0"/>
          <w:spacing w:val="-2"/>
          <w:w w:val="100"/>
          <w:rtl/>
          <w:lang w:val="en-GB" w:bidi="ar-EG"/>
        </w:rPr>
      </w:pPr>
    </w:p>
    <w:p w:rsidR="002E453A" w:rsidRPr="00D607AE" w:rsidRDefault="002E453A" w:rsidP="002E453A">
      <w:pPr>
        <w:pStyle w:val="SingleTxt"/>
        <w:keepNe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Pr>
          <w:rFonts w:hint="cs"/>
          <w:b/>
          <w:bCs/>
          <w:noProof w:val="0"/>
          <w:sz w:val="30"/>
          <w:szCs w:val="32"/>
          <w:rtl/>
          <w:lang w:val="en-GB" w:bidi="ar-EG"/>
        </w:rPr>
        <w:t>10</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tl/>
          <w:lang w:val="en-GB" w:bidi="ar-EG"/>
        </w:rPr>
      </w:pPr>
      <w:r w:rsidRPr="007A279D">
        <w:rPr>
          <w:rFonts w:eastAsia="Calibri"/>
          <w:rtl/>
          <w:lang w:val="en-GB" w:eastAsia="zh-TW"/>
        </w:rPr>
        <w:t>يمكن للحكومات أن تنظر في إنشاء أحدث المرافق الخاصة بتحديد سمات المواد الكيميائية في المختبرات من أجل الربط بين العينات وشبكات الاتِّجار</w:t>
      </w:r>
      <w:r w:rsidR="006E3916">
        <w:rPr>
          <w:rFonts w:hint="cs"/>
          <w:noProof w:val="0"/>
          <w:sz w:val="30"/>
          <w:rtl/>
          <w:lang w:val="en-GB" w:bidi="ar-EG"/>
        </w:rPr>
        <w:t>.</w:t>
      </w:r>
    </w:p>
    <w:p w:rsidR="006E3916" w:rsidRPr="00FE1F33" w:rsidRDefault="006E3916"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val="en-GB" w:bidi="ar-EG"/>
        </w:rPr>
      </w:pPr>
    </w:p>
    <w:p w:rsidR="006E3916" w:rsidRDefault="006E3916" w:rsidP="006E3916">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6E3916" w:rsidRPr="006E3916" w:rsidRDefault="006E3916" w:rsidP="006E3916">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2E453A" w:rsidRDefault="002E453A" w:rsidP="002E453A">
      <w:pPr>
        <w:pStyle w:val="SingleTxt"/>
        <w:pBdr>
          <w:top w:val="single" w:sz="4" w:space="1" w:color="auto"/>
          <w:left w:val="single" w:sz="4" w:space="1" w:color="auto"/>
          <w:bottom w:val="single" w:sz="4" w:space="1" w:color="auto"/>
          <w:right w:val="single" w:sz="4" w:space="1" w:color="auto"/>
        </w:pBdr>
        <w:ind w:left="0" w:right="0"/>
        <w:rPr>
          <w:b/>
          <w:bCs/>
          <w:noProof w:val="0"/>
          <w:sz w:val="28"/>
          <w:szCs w:val="28"/>
          <w:rtl/>
          <w:lang w:val="en-GB"/>
        </w:rPr>
      </w:pPr>
    </w:p>
    <w:p w:rsidR="002E453A" w:rsidRDefault="002E453A"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6E3916" w:rsidRPr="006E3916" w:rsidRDefault="006E3916"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Default="002E453A" w:rsidP="002E453A">
      <w:pPr>
        <w:pStyle w:val="SingleTxt"/>
        <w:pBdr>
          <w:top w:val="single" w:sz="4" w:space="1" w:color="auto"/>
          <w:left w:val="single" w:sz="4" w:space="1" w:color="auto"/>
          <w:bottom w:val="single" w:sz="4" w:space="1" w:color="auto"/>
          <w:right w:val="single" w:sz="4" w:space="1" w:color="auto"/>
        </w:pBdr>
        <w:ind w:left="0" w:right="0"/>
        <w:rPr>
          <w:rtl/>
          <w:lang w:val="en-GB" w:bidi="ar-EG"/>
        </w:rPr>
      </w:pPr>
    </w:p>
    <w:p w:rsidR="002E453A" w:rsidRDefault="002E453A" w:rsidP="002E453A">
      <w:pPr>
        <w:pStyle w:val="SingleTxt"/>
        <w:spacing w:after="0" w:line="120" w:lineRule="exact"/>
        <w:jc w:val="both"/>
        <w:rPr>
          <w:noProof w:val="0"/>
          <w:sz w:val="12"/>
          <w:rtl/>
          <w:lang w:val="en-GB" w:bidi="ar-EG"/>
        </w:rPr>
      </w:pPr>
    </w:p>
    <w:p w:rsidR="006E3916" w:rsidRDefault="006E3916">
      <w:pPr>
        <w:rPr>
          <w:rtl/>
          <w:lang w:val="en-GB" w:bidi="ar-EG"/>
        </w:rPr>
      </w:pPr>
      <w:r>
        <w:rPr>
          <w:rtl/>
          <w:lang w:val="en-GB" w:bidi="ar-EG"/>
        </w:rPr>
        <w:br w:type="page"/>
      </w:r>
    </w:p>
    <w:p w:rsidR="002E453A" w:rsidRDefault="002E453A" w:rsidP="002E453A">
      <w:pPr>
        <w:pStyle w:val="SingleTxt"/>
        <w:pBdr>
          <w:bottom w:val="single" w:sz="4" w:space="1" w:color="auto"/>
        </w:pBdr>
        <w:ind w:left="0" w:right="0"/>
        <w:jc w:val="left"/>
        <w:rPr>
          <w:b/>
          <w:bCs/>
          <w:noProof w:val="0"/>
          <w:sz w:val="36"/>
          <w:szCs w:val="34"/>
          <w:rtl/>
          <w:lang w:val="en-GB" w:bidi="ar-EG"/>
        </w:rPr>
      </w:pPr>
      <w:r>
        <w:rPr>
          <w:rFonts w:hint="cs"/>
          <w:b/>
          <w:bCs/>
          <w:noProof w:val="0"/>
          <w:sz w:val="36"/>
          <w:szCs w:val="34"/>
          <w:rtl/>
          <w:lang w:val="en-GB" w:bidi="ar-EG"/>
        </w:rPr>
        <w:lastRenderedPageBreak/>
        <w:t>المسألة الثالثة</w:t>
      </w:r>
    </w:p>
    <w:p w:rsidR="002E453A" w:rsidRPr="007A279D" w:rsidRDefault="002E453A" w:rsidP="002E453A">
      <w:pPr>
        <w:pStyle w:val="H23"/>
        <w:tabs>
          <w:tab w:val="right" w:pos="1022"/>
          <w:tab w:val="left" w:pos="2218"/>
          <w:tab w:val="left" w:pos="2693"/>
          <w:tab w:val="left" w:pos="3182"/>
          <w:tab w:val="left" w:pos="3658"/>
          <w:tab w:val="left" w:pos="4133"/>
          <w:tab w:val="left" w:pos="4622"/>
          <w:tab w:val="left" w:pos="5098"/>
          <w:tab w:val="left" w:pos="5573"/>
          <w:tab w:val="left" w:pos="6048"/>
        </w:tabs>
        <w:ind w:left="141" w:right="1267"/>
        <w:jc w:val="left"/>
        <w:rPr>
          <w:spacing w:val="0"/>
          <w:lang w:val="en-GB" w:eastAsia="zh-TW"/>
        </w:rPr>
      </w:pPr>
      <w:r w:rsidRPr="007A279D">
        <w:rPr>
          <w:spacing w:val="0"/>
          <w:rtl/>
          <w:lang w:val="en-GB" w:eastAsia="zh-TW"/>
        </w:rPr>
        <w:t>السياسات الشاملة والمتوازنة بشأن ال</w:t>
      </w:r>
      <w:r w:rsidR="00462CB8">
        <w:rPr>
          <w:spacing w:val="0"/>
          <w:rtl/>
          <w:lang w:val="en-GB" w:eastAsia="zh-TW"/>
        </w:rPr>
        <w:t>مخدِّرات</w:t>
      </w:r>
      <w:r w:rsidRPr="007A279D">
        <w:rPr>
          <w:spacing w:val="0"/>
          <w:rtl/>
          <w:lang w:val="en-GB" w:eastAsia="zh-TW"/>
        </w:rPr>
        <w:t xml:space="preserve"> من خلال آليات التعاون والتنسيق فيما بين السلطات المحلية على جميع المستويات</w:t>
      </w:r>
    </w:p>
    <w:p w:rsidR="002E453A" w:rsidRDefault="002E453A" w:rsidP="006E3916">
      <w:pPr>
        <w:pStyle w:val="SingleTxt"/>
        <w:spacing w:after="0" w:line="120" w:lineRule="exact"/>
        <w:ind w:left="0" w:right="0"/>
        <w:jc w:val="both"/>
        <w:rPr>
          <w:noProof w:val="0"/>
          <w:sz w:val="30"/>
          <w:szCs w:val="32"/>
          <w:rtl/>
          <w:lang w:val="en-GB"/>
        </w:rPr>
      </w:pPr>
    </w:p>
    <w:p w:rsidR="006E3916" w:rsidRDefault="006E3916" w:rsidP="006E3916">
      <w:pPr>
        <w:pStyle w:val="SingleTxt"/>
        <w:spacing w:after="0" w:line="120" w:lineRule="exact"/>
        <w:ind w:left="0" w:right="0"/>
        <w:jc w:val="both"/>
        <w:rPr>
          <w:noProof w:val="0"/>
          <w:sz w:val="30"/>
          <w:szCs w:val="32"/>
          <w:rtl/>
          <w:lang w:val="en-GB"/>
        </w:rPr>
      </w:pPr>
    </w:p>
    <w:p w:rsidR="006E3916" w:rsidRPr="006E3916" w:rsidRDefault="006E3916" w:rsidP="006E3916">
      <w:pPr>
        <w:pStyle w:val="SingleTxt"/>
        <w:spacing w:after="0" w:line="120" w:lineRule="exact"/>
        <w:ind w:left="0" w:right="0"/>
        <w:jc w:val="both"/>
        <w:rPr>
          <w:noProof w:val="0"/>
          <w:sz w:val="30"/>
          <w:szCs w:val="32"/>
          <w:rtl/>
          <w:lang w:val="en-GB"/>
        </w:rPr>
      </w:pP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Pr>
          <w:rFonts w:hint="cs"/>
          <w:b/>
          <w:bCs/>
          <w:noProof w:val="0"/>
          <w:sz w:val="30"/>
          <w:szCs w:val="32"/>
          <w:rtl/>
          <w:lang w:val="en-GB" w:bidi="ar-EG"/>
        </w:rPr>
        <w:t>11</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تُشجَّع الدول الأعضاء مجدداً على اعتماد قوانين وسياسات تنظيمية رقابية بشأن ال</w:t>
      </w:r>
      <w:r w:rsidR="00462CB8">
        <w:rPr>
          <w:rFonts w:eastAsia="Calibri"/>
          <w:rtl/>
          <w:lang w:val="en-GB" w:eastAsia="zh-TW"/>
        </w:rPr>
        <w:t>مخدِّرات</w:t>
      </w:r>
      <w:r w:rsidRPr="007A279D">
        <w:rPr>
          <w:rFonts w:eastAsia="Calibri"/>
          <w:rtl/>
          <w:lang w:val="en-GB" w:eastAsia="zh-TW"/>
        </w:rPr>
        <w:t xml:space="preserve"> تكون داعمةً لنهج متمركز حول الصحة ومستند إلى الأدلة العلمية في خفض الطلب على ال</w:t>
      </w:r>
      <w:r w:rsidR="00462CB8">
        <w:rPr>
          <w:rFonts w:eastAsia="Calibri"/>
          <w:rtl/>
          <w:lang w:val="en-GB" w:eastAsia="zh-TW"/>
        </w:rPr>
        <w:t>مخدِّرات</w:t>
      </w:r>
      <w:r w:rsidR="006E3916">
        <w:rPr>
          <w:rFonts w:hint="cs"/>
          <w:rtl/>
          <w:lang w:eastAsia="en-GB"/>
        </w:rPr>
        <w:t>.</w:t>
      </w:r>
    </w:p>
    <w:p w:rsidR="006E3916" w:rsidRPr="00197C36" w:rsidRDefault="006E3916" w:rsidP="00D47A00">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6E3916" w:rsidRDefault="006E3916" w:rsidP="006E3916">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6E3916" w:rsidRPr="006E3916" w:rsidRDefault="006E3916" w:rsidP="006E3916">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462CB8" w:rsidRPr="00D47A00" w:rsidRDefault="00462CB8"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Pr="00D47A00" w:rsidRDefault="002E453A"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D47A00" w:rsidRDefault="00462CB8"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D47A00"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2E453A">
      <w:pPr>
        <w:jc w:val="right"/>
        <w:rPr>
          <w:lang w:val="en-GB" w:bidi="ar-EG"/>
        </w:rPr>
      </w:pPr>
    </w:p>
    <w:p w:rsidR="006E3916" w:rsidRDefault="006E3916" w:rsidP="002E453A">
      <w:pPr>
        <w:jc w:val="right"/>
        <w:rPr>
          <w:lang w:val="en-GB" w:bidi="ar-EG"/>
        </w:rPr>
      </w:pPr>
    </w:p>
    <w:p w:rsidR="006E3916" w:rsidRDefault="006E3916" w:rsidP="002E453A">
      <w:pPr>
        <w:jc w:val="right"/>
        <w:rPr>
          <w:rtl/>
          <w:lang w:val="en-GB" w:bidi="ar-EG"/>
        </w:rPr>
      </w:pPr>
    </w:p>
    <w:p w:rsidR="006E3916" w:rsidRDefault="006E3916" w:rsidP="002E453A">
      <w:pPr>
        <w:jc w:val="right"/>
        <w:rPr>
          <w:rtl/>
          <w:lang w:val="en-GB" w:bidi="ar-EG"/>
        </w:rPr>
      </w:pP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Pr>
          <w:rFonts w:hint="cs"/>
          <w:b/>
          <w:bCs/>
          <w:noProof w:val="0"/>
          <w:sz w:val="30"/>
          <w:szCs w:val="32"/>
          <w:rtl/>
          <w:lang w:val="en-GB" w:bidi="ar-EG"/>
        </w:rPr>
        <w:t>12</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تُشجَّع الحكومات على تدعيم قدرات موظفي إنفاذ القانون، من خلال التدريب، على الانخراط في أنشطة مناسبة لخفض الطلب على ال</w:t>
      </w:r>
      <w:r w:rsidR="00462CB8">
        <w:rPr>
          <w:rFonts w:eastAsia="Calibri"/>
          <w:rtl/>
          <w:lang w:val="en-GB" w:eastAsia="zh-TW"/>
        </w:rPr>
        <w:t>مخدِّرات</w:t>
      </w:r>
      <w:r w:rsidRPr="007A279D">
        <w:rPr>
          <w:rFonts w:eastAsia="Calibri"/>
          <w:rtl/>
          <w:lang w:val="en-GB" w:eastAsia="zh-TW"/>
        </w:rPr>
        <w:t>، مثل أنشطة التقليل من الوصم والتوعية والفحص المبكر والإحالة الطبية</w:t>
      </w:r>
      <w:r w:rsidR="006E3916">
        <w:rPr>
          <w:rFonts w:hint="cs"/>
          <w:rtl/>
          <w:lang w:eastAsia="en-GB"/>
        </w:rPr>
        <w:t>.</w:t>
      </w:r>
    </w:p>
    <w:p w:rsidR="006E3916" w:rsidRPr="00197C36" w:rsidRDefault="006E3916" w:rsidP="00D47A00">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462CB8" w:rsidRDefault="00462CB8" w:rsidP="00462CB8">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462CB8" w:rsidRPr="006E3916" w:rsidRDefault="00462CB8" w:rsidP="00462CB8">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2E453A" w:rsidRPr="00D47A00"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Pr="00D47A00" w:rsidRDefault="002E453A"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D47A00" w:rsidRDefault="00462CB8" w:rsidP="006E3916">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D47A00"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462CB8" w:rsidRDefault="00462CB8">
      <w:pPr>
        <w:rPr>
          <w:rtl/>
          <w:lang w:val="en-GB"/>
        </w:rPr>
      </w:pPr>
      <w:r>
        <w:rPr>
          <w:rtl/>
          <w:lang w:val="en-GB"/>
        </w:rPr>
        <w:br w:type="page"/>
      </w: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Pr>
          <w:rFonts w:hint="cs"/>
          <w:b/>
          <w:bCs/>
          <w:noProof w:val="0"/>
          <w:sz w:val="30"/>
          <w:szCs w:val="32"/>
          <w:rtl/>
          <w:lang w:val="en-GB" w:bidi="ar-EG"/>
        </w:rPr>
        <w:t>13</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Fonts w:eastAsia="Calibri"/>
          <w:rtl/>
          <w:lang w:val="en-GB" w:eastAsia="zh-TW"/>
        </w:rPr>
      </w:pPr>
      <w:r w:rsidRPr="007A279D">
        <w:rPr>
          <w:rFonts w:eastAsia="Calibri"/>
          <w:rtl/>
          <w:lang w:val="en-GB" w:eastAsia="zh-TW"/>
        </w:rPr>
        <w:t xml:space="preserve">تُشجَّع </w:t>
      </w:r>
      <w:r w:rsidRPr="002E453A">
        <w:rPr>
          <w:rFonts w:eastAsia="Calibri"/>
          <w:rtl/>
          <w:lang w:val="en-GB" w:eastAsia="zh-TW"/>
        </w:rPr>
        <w:t>الحكومات على تعزيز التعاون بين قطاعات عديدة على وضع وتنفيذ برامج وخدمات لخفض الطلب على ال</w:t>
      </w:r>
      <w:r w:rsidR="00462CB8">
        <w:rPr>
          <w:rFonts w:eastAsia="Calibri"/>
          <w:rtl/>
          <w:lang w:val="en-GB" w:eastAsia="zh-TW"/>
        </w:rPr>
        <w:t>مخدِّرات</w:t>
      </w:r>
      <w:r w:rsidRPr="002E453A">
        <w:rPr>
          <w:rFonts w:eastAsia="Calibri"/>
          <w:rtl/>
          <w:lang w:val="en-GB" w:eastAsia="zh-TW"/>
        </w:rPr>
        <w:t xml:space="preserve"> من خلال إنشاء آليات تنسيق وطنية</w:t>
      </w:r>
      <w:r w:rsidR="00462CB8">
        <w:rPr>
          <w:rFonts w:eastAsia="Calibri" w:hint="cs"/>
          <w:rtl/>
          <w:lang w:val="en-GB" w:eastAsia="zh-TW"/>
        </w:rPr>
        <w:t>.</w:t>
      </w:r>
    </w:p>
    <w:p w:rsidR="00462CB8" w:rsidRPr="00197C36" w:rsidRDefault="00462CB8"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462CB8" w:rsidRDefault="00462CB8" w:rsidP="00462CB8">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462CB8" w:rsidRPr="006E3916" w:rsidRDefault="00462CB8" w:rsidP="00462CB8">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2E453A" w:rsidRPr="00462CB8"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Pr="00462CB8" w:rsidRDefault="002E453A"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462CB8"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462CB8">
      <w:pPr>
        <w:bidi/>
        <w:rPr>
          <w:rtl/>
          <w:lang w:val="en-GB"/>
        </w:rPr>
      </w:pPr>
    </w:p>
    <w:p w:rsidR="00462CB8" w:rsidRDefault="00462CB8" w:rsidP="00462CB8">
      <w:pPr>
        <w:bidi/>
        <w:rPr>
          <w:rtl/>
          <w:lang w:val="en-GB"/>
        </w:rPr>
      </w:pPr>
    </w:p>
    <w:p w:rsidR="00462CB8" w:rsidRDefault="00462CB8" w:rsidP="00462CB8">
      <w:pPr>
        <w:bidi/>
        <w:rPr>
          <w:rtl/>
          <w:lang w:val="en-GB"/>
        </w:rPr>
      </w:pP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Pr>
          <w:rFonts w:hint="cs"/>
          <w:b/>
          <w:bCs/>
          <w:noProof w:val="0"/>
          <w:sz w:val="30"/>
          <w:szCs w:val="32"/>
          <w:rtl/>
          <w:lang w:val="en-GB" w:bidi="ar-EG"/>
        </w:rPr>
        <w:t>14</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Fonts w:eastAsia="Calibri"/>
          <w:rtl/>
          <w:lang w:val="en-GB" w:eastAsia="zh-TW"/>
        </w:rPr>
      </w:pPr>
      <w:r w:rsidRPr="007A279D">
        <w:rPr>
          <w:rFonts w:eastAsia="Calibri"/>
          <w:rtl/>
          <w:lang w:val="en-GB" w:eastAsia="zh-TW"/>
        </w:rPr>
        <w:t>تُشجَّع الحكومات على استخدام منصات شبكات التواصل الاجتماعي للتوعية ودعم الجهود المستندة إلى الأدلة العلمية والرامية إلى الوقاية من تعاطي ال</w:t>
      </w:r>
      <w:r w:rsidR="00462CB8">
        <w:rPr>
          <w:rFonts w:eastAsia="Calibri"/>
          <w:rtl/>
          <w:lang w:val="en-GB" w:eastAsia="zh-TW"/>
        </w:rPr>
        <w:t>مخدِّرات</w:t>
      </w:r>
      <w:r w:rsidR="00462CB8">
        <w:rPr>
          <w:rFonts w:eastAsia="Calibri" w:hint="cs"/>
          <w:rtl/>
          <w:lang w:val="en-GB" w:eastAsia="zh-TW"/>
        </w:rPr>
        <w:t>.</w:t>
      </w:r>
    </w:p>
    <w:p w:rsidR="00462CB8" w:rsidRPr="00197C36" w:rsidRDefault="00462CB8"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462CB8" w:rsidRDefault="00462CB8" w:rsidP="00462CB8">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462CB8" w:rsidRPr="006E3916" w:rsidRDefault="00462CB8" w:rsidP="00462CB8">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2E453A">
      <w:pPr>
        <w:jc w:val="right"/>
        <w:rPr>
          <w:rtl/>
          <w:lang w:val="en-GB" w:bidi="ar-EG"/>
        </w:rPr>
      </w:pPr>
    </w:p>
    <w:p w:rsidR="00462CB8" w:rsidRDefault="00462CB8">
      <w:pPr>
        <w:rPr>
          <w:lang w:val="en-GB" w:bidi="ar-EG"/>
        </w:rPr>
      </w:pPr>
      <w:r>
        <w:rPr>
          <w:lang w:val="en-GB" w:bidi="ar-EG"/>
        </w:rPr>
        <w:br w:type="page"/>
      </w:r>
    </w:p>
    <w:p w:rsidR="002E453A" w:rsidRDefault="002E453A" w:rsidP="002E453A">
      <w:pPr>
        <w:pStyle w:val="SingleTxt"/>
        <w:pBdr>
          <w:bottom w:val="single" w:sz="4" w:space="1" w:color="auto"/>
        </w:pBdr>
        <w:ind w:left="0" w:right="0"/>
        <w:jc w:val="left"/>
        <w:rPr>
          <w:b/>
          <w:bCs/>
          <w:noProof w:val="0"/>
          <w:sz w:val="36"/>
          <w:szCs w:val="34"/>
          <w:rtl/>
          <w:lang w:val="en-GB" w:bidi="ar-EG"/>
        </w:rPr>
      </w:pPr>
      <w:r>
        <w:rPr>
          <w:rFonts w:hint="cs"/>
          <w:b/>
          <w:bCs/>
          <w:noProof w:val="0"/>
          <w:sz w:val="36"/>
          <w:szCs w:val="34"/>
          <w:rtl/>
          <w:lang w:val="en-GB" w:bidi="ar-EG"/>
        </w:rPr>
        <w:lastRenderedPageBreak/>
        <w:t>المسألة الرابعة</w:t>
      </w:r>
    </w:p>
    <w:p w:rsidR="002E453A" w:rsidRPr="007A279D" w:rsidRDefault="002E453A" w:rsidP="002E453A">
      <w:pPr>
        <w:pStyle w:val="H23"/>
        <w:tabs>
          <w:tab w:val="right" w:pos="1022"/>
          <w:tab w:val="left" w:pos="2218"/>
          <w:tab w:val="left" w:pos="2693"/>
          <w:tab w:val="left" w:pos="3182"/>
          <w:tab w:val="left" w:pos="3658"/>
          <w:tab w:val="left" w:pos="4133"/>
          <w:tab w:val="left" w:pos="4622"/>
          <w:tab w:val="left" w:pos="5098"/>
          <w:tab w:val="left" w:pos="5573"/>
          <w:tab w:val="left" w:pos="6048"/>
        </w:tabs>
        <w:ind w:left="141" w:right="1267"/>
        <w:jc w:val="left"/>
        <w:rPr>
          <w:spacing w:val="0"/>
          <w:lang w:val="en-GB" w:eastAsia="zh-TW"/>
        </w:rPr>
      </w:pPr>
      <w:r w:rsidRPr="006623B7">
        <w:rPr>
          <w:rFonts w:ascii="Times New Roman Bold" w:hAnsi="Times New Roman Bold"/>
          <w:spacing w:val="0"/>
          <w:w w:val="100"/>
          <w:rtl/>
          <w:lang w:val="en-GB" w:eastAsia="zh-TW"/>
        </w:rPr>
        <w:t>التدابير العملية المعدَّة خصيصاً لتلبية الاحتياجات المحدَّدة للأطفال والشباب من أجل وقايتهم من تعاطي المخدِّرات، وتيسير أخذ احتياجات القصَّر من مرتكبي جرائم المخدِّرات في الاعتبار في إطار نظام العدالة الجنائية</w:t>
      </w:r>
    </w:p>
    <w:p w:rsidR="002E453A" w:rsidRPr="00462CB8" w:rsidRDefault="002E453A" w:rsidP="002E453A">
      <w:pPr>
        <w:pStyle w:val="SingleTxt"/>
        <w:ind w:left="0" w:right="0"/>
        <w:jc w:val="both"/>
        <w:rPr>
          <w:rtl/>
        </w:rPr>
      </w:pP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Pr>
          <w:rFonts w:hint="cs"/>
          <w:b/>
          <w:bCs/>
          <w:noProof w:val="0"/>
          <w:sz w:val="30"/>
          <w:szCs w:val="32"/>
          <w:rtl/>
          <w:lang w:val="en-GB" w:bidi="ar-EG"/>
        </w:rPr>
        <w:t>15</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 xml:space="preserve">تُشجَّع الدول الأعضاء على تحديد واعتماد إطار لخدمات المساعدة التشريعية من أجل دعم وحماية حقوق الشباب الجانحين </w:t>
      </w:r>
      <w:r>
        <w:rPr>
          <w:rFonts w:eastAsia="Calibri"/>
          <w:rtl/>
          <w:lang w:val="en-GB" w:eastAsia="zh-TW"/>
        </w:rPr>
        <w:t xml:space="preserve">المتعاملين مع </w:t>
      </w:r>
      <w:r w:rsidRPr="007A279D">
        <w:rPr>
          <w:rFonts w:eastAsia="Calibri"/>
          <w:rtl/>
          <w:lang w:val="en-GB" w:eastAsia="zh-TW"/>
        </w:rPr>
        <w:t>نظام العدالة الجنائية</w:t>
      </w:r>
      <w:r w:rsidR="00462CB8">
        <w:rPr>
          <w:rFonts w:hint="cs"/>
          <w:rtl/>
          <w:lang w:eastAsia="en-GB"/>
        </w:rPr>
        <w:t>.</w:t>
      </w:r>
    </w:p>
    <w:p w:rsidR="00462CB8" w:rsidRPr="00197C36" w:rsidRDefault="00462CB8"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462CB8" w:rsidRDefault="00462CB8" w:rsidP="00462CB8">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462CB8" w:rsidRPr="006E3916" w:rsidRDefault="00462CB8" w:rsidP="00462CB8">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2E453A" w:rsidRPr="00462CB8"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462CB8" w:rsidRDefault="002E453A"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462CB8"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2E453A">
      <w:pPr>
        <w:jc w:val="right"/>
        <w:rPr>
          <w:lang w:val="en-GB" w:bidi="ar-EG"/>
        </w:rPr>
      </w:pPr>
    </w:p>
    <w:p w:rsidR="00462CB8" w:rsidRDefault="00462CB8" w:rsidP="002E453A">
      <w:pPr>
        <w:jc w:val="right"/>
        <w:rPr>
          <w:lang w:val="en-GB" w:bidi="ar-EG"/>
        </w:rPr>
      </w:pPr>
    </w:p>
    <w:p w:rsidR="00462CB8" w:rsidRDefault="00462CB8" w:rsidP="002E453A">
      <w:pPr>
        <w:jc w:val="right"/>
        <w:rPr>
          <w:rtl/>
          <w:lang w:val="en-GB" w:bidi="ar-EG"/>
        </w:rPr>
      </w:pP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t xml:space="preserve">التوصية </w:t>
      </w:r>
      <w:r>
        <w:rPr>
          <w:rFonts w:hint="cs"/>
          <w:b/>
          <w:bCs/>
          <w:noProof w:val="0"/>
          <w:sz w:val="30"/>
          <w:szCs w:val="32"/>
          <w:rtl/>
          <w:lang w:val="en-GB" w:bidi="ar-EG"/>
        </w:rPr>
        <w:t>16</w:t>
      </w:r>
    </w:p>
    <w:p w:rsidR="002E453A" w:rsidRDefault="002E453A" w:rsidP="00E520AA">
      <w:pPr>
        <w:pStyle w:val="SingleTxt"/>
        <w:pBdr>
          <w:top w:val="single" w:sz="4" w:space="4" w:color="auto"/>
          <w:left w:val="single" w:sz="4" w:space="1" w:color="auto"/>
          <w:bottom w:val="single" w:sz="4" w:space="6" w:color="auto"/>
          <w:right w:val="single" w:sz="4" w:space="1" w:color="auto"/>
        </w:pBdr>
        <w:ind w:left="0" w:right="0"/>
        <w:jc w:val="both"/>
        <w:rPr>
          <w:rtl/>
          <w:lang w:val="en-GB" w:bidi="ar-EG"/>
        </w:rPr>
      </w:pPr>
      <w:r w:rsidRPr="007A279D">
        <w:rPr>
          <w:rFonts w:eastAsia="Calibri"/>
          <w:rtl/>
          <w:lang w:val="en-GB" w:eastAsia="zh-TW"/>
        </w:rPr>
        <w:t xml:space="preserve">تُشجَّع الحكومات على اعتماد استراتيجيات وطنية متوازنة وشاملة للوقاية من المخدِّرات تتماشى مع الإرشادات المتاحة في </w:t>
      </w:r>
      <w:r w:rsidRPr="00ED7591">
        <w:rPr>
          <w:rFonts w:eastAsia="Calibri"/>
          <w:i/>
          <w:iCs/>
          <w:rtl/>
          <w:lang w:val="en-GB" w:eastAsia="zh-TW"/>
        </w:rPr>
        <w:t>المعايير الدولية للوقاية من تعاطي المخدِّرات</w:t>
      </w:r>
      <w:r w:rsidR="00462CB8">
        <w:rPr>
          <w:rFonts w:hint="cs"/>
          <w:rtl/>
          <w:lang w:val="en-GB" w:bidi="ar-EG"/>
        </w:rPr>
        <w:t>.</w:t>
      </w:r>
    </w:p>
    <w:p w:rsidR="00462CB8" w:rsidRPr="00FE1F33" w:rsidRDefault="00462CB8"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val="en-GB" w:bidi="ar-EG"/>
        </w:rPr>
      </w:pPr>
    </w:p>
    <w:p w:rsidR="00462CB8" w:rsidRDefault="00462CB8" w:rsidP="00462CB8">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462CB8" w:rsidRPr="006E3916" w:rsidRDefault="00462CB8" w:rsidP="00462CB8">
      <w:pPr>
        <w:pStyle w:val="SingleTxt"/>
        <w:tabs>
          <w:tab w:val="clear" w:pos="2592"/>
          <w:tab w:val="clear" w:pos="3917"/>
        </w:tabs>
        <w:spacing w:after="0" w:line="120" w:lineRule="exact"/>
        <w:ind w:left="0" w:right="0"/>
        <w:rPr>
          <w:rtl/>
        </w:rPr>
      </w:pPr>
    </w:p>
    <w:p w:rsidR="002E453A" w:rsidRPr="00FE1F33" w:rsidRDefault="002E453A" w:rsidP="00E520AA">
      <w:pPr>
        <w:pStyle w:val="SingleTxt"/>
        <w:ind w:left="0" w:right="0"/>
        <w:rPr>
          <w:noProof w:val="0"/>
          <w:sz w:val="28"/>
          <w:szCs w:val="28"/>
          <w:rtl/>
          <w:lang w:val="en-GB"/>
        </w:rPr>
      </w:pPr>
      <w:r w:rsidRPr="00FE1F33">
        <w:rPr>
          <w:rFonts w:hint="cs"/>
          <w:noProof w:val="0"/>
          <w:sz w:val="28"/>
          <w:szCs w:val="28"/>
          <w:rtl/>
          <w:lang w:val="en-GB"/>
        </w:rPr>
        <w:t>يرجى التوضيح:</w:t>
      </w: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462CB8" w:rsidRPr="00462CB8" w:rsidRDefault="00462CB8" w:rsidP="00462CB8">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2E453A">
      <w:pPr>
        <w:jc w:val="right"/>
        <w:rPr>
          <w:rtl/>
          <w:lang w:val="en-GB" w:bidi="ar-EG"/>
        </w:rPr>
      </w:pPr>
    </w:p>
    <w:p w:rsidR="002E453A" w:rsidRPr="00D607AE" w:rsidRDefault="002E453A" w:rsidP="002E453A">
      <w:pPr>
        <w:pStyle w:val="SingleTxt"/>
        <w:ind w:left="0" w:right="0"/>
        <w:jc w:val="both"/>
        <w:rPr>
          <w:b/>
          <w:bCs/>
          <w:noProof w:val="0"/>
          <w:sz w:val="30"/>
          <w:szCs w:val="32"/>
          <w:rtl/>
          <w:lang w:val="en-GB" w:bidi="ar-EG"/>
        </w:rPr>
      </w:pPr>
      <w:r w:rsidRPr="00D607AE">
        <w:rPr>
          <w:rFonts w:hint="cs"/>
          <w:b/>
          <w:bCs/>
          <w:noProof w:val="0"/>
          <w:sz w:val="30"/>
          <w:szCs w:val="32"/>
          <w:rtl/>
          <w:lang w:val="en-GB" w:bidi="ar-EG"/>
        </w:rPr>
        <w:lastRenderedPageBreak/>
        <w:t xml:space="preserve">التوصية </w:t>
      </w:r>
      <w:r>
        <w:rPr>
          <w:rFonts w:hint="cs"/>
          <w:b/>
          <w:bCs/>
          <w:noProof w:val="0"/>
          <w:sz w:val="30"/>
          <w:szCs w:val="32"/>
          <w:rtl/>
          <w:lang w:val="en-GB" w:bidi="ar-EG"/>
        </w:rPr>
        <w:t>17</w:t>
      </w:r>
    </w:p>
    <w:p w:rsidR="002E453A" w:rsidRDefault="002E453A" w:rsidP="002E453A">
      <w:pPr>
        <w:pStyle w:val="SingleTxt"/>
        <w:pBdr>
          <w:top w:val="single" w:sz="4" w:space="4" w:color="auto"/>
          <w:left w:val="single" w:sz="4" w:space="1" w:color="auto"/>
          <w:bottom w:val="single" w:sz="4" w:space="6" w:color="auto"/>
          <w:right w:val="single" w:sz="4" w:space="1" w:color="auto"/>
        </w:pBdr>
        <w:ind w:left="0" w:right="0"/>
        <w:jc w:val="both"/>
        <w:rPr>
          <w:rtl/>
          <w:lang w:eastAsia="en-GB"/>
        </w:rPr>
      </w:pPr>
      <w:r w:rsidRPr="007A279D">
        <w:rPr>
          <w:rFonts w:eastAsia="Calibri"/>
          <w:rtl/>
          <w:lang w:val="en-GB" w:eastAsia="zh-TW"/>
        </w:rPr>
        <w:t>تُشجَّع الدول الأعضاء على اعتماد برامج لوقاية الشباب من المخدِّرات تراعي الاحتياجات الخاصة بالشباب والأطفال وتعالج عوامل الخطورة وجوانب الضعف المرتبطة بكل مرحلة من مراحل النمو</w:t>
      </w:r>
      <w:r w:rsidR="00462CB8">
        <w:rPr>
          <w:rFonts w:hint="cs"/>
          <w:rtl/>
          <w:lang w:eastAsia="en-GB"/>
        </w:rPr>
        <w:t>.</w:t>
      </w:r>
    </w:p>
    <w:p w:rsidR="00462CB8" w:rsidRPr="00197C36" w:rsidRDefault="00462CB8" w:rsidP="00462CB8">
      <w:pPr>
        <w:pStyle w:val="SingleTxt"/>
        <w:pBdr>
          <w:top w:val="single" w:sz="4" w:space="4" w:color="auto"/>
          <w:left w:val="single" w:sz="4" w:space="1" w:color="auto"/>
          <w:bottom w:val="single" w:sz="4" w:space="6" w:color="auto"/>
          <w:right w:val="single" w:sz="4" w:space="1" w:color="auto"/>
        </w:pBdr>
        <w:spacing w:after="0" w:line="120" w:lineRule="exact"/>
        <w:ind w:left="0" w:right="0"/>
        <w:jc w:val="both"/>
        <w:rPr>
          <w:rtl/>
          <w:lang w:eastAsia="en-GB"/>
        </w:rPr>
      </w:pPr>
    </w:p>
    <w:p w:rsidR="00462CB8" w:rsidRDefault="00462CB8" w:rsidP="00462CB8">
      <w:pPr>
        <w:pStyle w:val="SingleTxt"/>
        <w:tabs>
          <w:tab w:val="clear" w:pos="2592"/>
          <w:tab w:val="clear" w:pos="3917"/>
        </w:tabs>
        <w:spacing w:before="240"/>
        <w:ind w:left="0" w:right="0"/>
      </w:pPr>
      <w:r w:rsidRPr="005D5E78">
        <w:rPr>
          <w:rFonts w:hint="cs"/>
          <w:rtl/>
        </w:rPr>
        <w:t>هل اتُّخذ أيُّ إجراء؟</w:t>
      </w:r>
      <w:r w:rsidRPr="005D5E78">
        <w:rPr>
          <w:rFonts w:hint="cs"/>
          <w:rtl/>
        </w:rPr>
        <w:tab/>
      </w:r>
      <w:r w:rsidRPr="005D5E78">
        <w:rPr>
          <w:rFonts w:hint="cs"/>
          <w:sz w:val="22"/>
          <w:szCs w:val="32"/>
        </w:rPr>
        <w:sym w:font="Wingdings" w:char="F0A8"/>
      </w:r>
      <w:r w:rsidRPr="005D5E78">
        <w:rPr>
          <w:rFonts w:hint="cs"/>
          <w:rtl/>
        </w:rPr>
        <w:t xml:space="preserve"> نعم</w:t>
      </w:r>
      <w:r w:rsidRPr="005D5E78">
        <w:rPr>
          <w:rFonts w:hint="cs"/>
          <w:rtl/>
        </w:rPr>
        <w:tab/>
      </w:r>
      <w:r w:rsidRPr="005D5E78">
        <w:rPr>
          <w:rFonts w:hint="cs"/>
          <w:sz w:val="22"/>
          <w:szCs w:val="32"/>
        </w:rPr>
        <w:sym w:font="Wingdings" w:char="F0A8"/>
      </w:r>
      <w:r w:rsidRPr="005D5E78">
        <w:rPr>
          <w:rFonts w:hint="cs"/>
          <w:rtl/>
        </w:rPr>
        <w:t xml:space="preserve"> لا</w:t>
      </w:r>
    </w:p>
    <w:p w:rsidR="00462CB8" w:rsidRPr="006E3916" w:rsidRDefault="00462CB8" w:rsidP="00462CB8">
      <w:pPr>
        <w:pStyle w:val="SingleTxt"/>
        <w:tabs>
          <w:tab w:val="clear" w:pos="2592"/>
          <w:tab w:val="clear" w:pos="3917"/>
        </w:tabs>
        <w:spacing w:after="0" w:line="120" w:lineRule="exact"/>
        <w:ind w:left="0" w:right="0"/>
        <w:rPr>
          <w:rtl/>
        </w:rPr>
      </w:pPr>
    </w:p>
    <w:p w:rsidR="002E453A" w:rsidRPr="00FE1F33" w:rsidRDefault="002E453A" w:rsidP="002E453A">
      <w:pPr>
        <w:pStyle w:val="SingleTxt"/>
        <w:ind w:left="0" w:right="0"/>
        <w:rPr>
          <w:noProof w:val="0"/>
          <w:sz w:val="28"/>
          <w:szCs w:val="28"/>
          <w:rtl/>
          <w:lang w:val="en-GB"/>
        </w:rPr>
      </w:pPr>
      <w:r w:rsidRPr="00FE1F33">
        <w:rPr>
          <w:rFonts w:hint="cs"/>
          <w:noProof w:val="0"/>
          <w:sz w:val="28"/>
          <w:szCs w:val="28"/>
          <w:rtl/>
          <w:lang w:val="en-GB"/>
        </w:rPr>
        <w:t>يرجى التوضيح:</w:t>
      </w:r>
    </w:p>
    <w:p w:rsidR="002E453A" w:rsidRPr="00462CB8"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Pr="00462CB8" w:rsidRDefault="002E453A"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462CB8" w:rsidRDefault="002E453A" w:rsidP="00462CB8">
      <w:pPr>
        <w:pStyle w:val="SingleTxt"/>
        <w:pBdr>
          <w:top w:val="single" w:sz="4" w:space="1" w:color="auto"/>
          <w:left w:val="single" w:sz="4" w:space="1" w:color="auto"/>
          <w:bottom w:val="single" w:sz="4" w:space="1" w:color="auto"/>
          <w:right w:val="single" w:sz="4" w:space="1" w:color="auto"/>
        </w:pBdr>
        <w:spacing w:after="0" w:line="120" w:lineRule="exact"/>
        <w:ind w:left="0" w:right="0"/>
        <w:rPr>
          <w:rtl/>
        </w:rPr>
      </w:pPr>
    </w:p>
    <w:p w:rsidR="002E453A" w:rsidRPr="00462CB8" w:rsidRDefault="002E453A" w:rsidP="002E453A">
      <w:pPr>
        <w:pStyle w:val="SingleTxt"/>
        <w:pBdr>
          <w:top w:val="single" w:sz="4" w:space="1" w:color="auto"/>
          <w:left w:val="single" w:sz="4" w:space="1" w:color="auto"/>
          <w:bottom w:val="single" w:sz="4" w:space="1" w:color="auto"/>
          <w:right w:val="single" w:sz="4" w:space="1" w:color="auto"/>
        </w:pBdr>
        <w:ind w:left="0" w:right="0"/>
        <w:rPr>
          <w:rtl/>
        </w:rPr>
      </w:pPr>
    </w:p>
    <w:p w:rsidR="002E453A" w:rsidRDefault="002E453A" w:rsidP="002E453A">
      <w:pPr>
        <w:jc w:val="right"/>
        <w:rPr>
          <w:rtl/>
          <w:lang w:val="en-GB" w:bidi="ar-EG"/>
        </w:rPr>
      </w:pPr>
    </w:p>
    <w:p w:rsidR="002E453A" w:rsidRPr="002E453A" w:rsidRDefault="002E453A" w:rsidP="002E453A">
      <w:pPr>
        <w:jc w:val="right"/>
        <w:rPr>
          <w:rtl/>
          <w:lang w:val="en-GB" w:bidi="ar-EG"/>
        </w:rPr>
      </w:pPr>
    </w:p>
    <w:sectPr w:rsidR="002E453A" w:rsidRPr="002E453A" w:rsidSect="00DF6DF5">
      <w:headerReference w:type="even" r:id="rId11"/>
      <w:headerReference w:type="default" r:id="rId12"/>
      <w:footerReference w:type="default" r:id="rId13"/>
      <w:pgSz w:w="11907" w:h="16840" w:code="9"/>
      <w:pgMar w:top="1701" w:right="1134" w:bottom="1701" w:left="1134" w:header="1021" w:footer="2155"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3C3" w:rsidRDefault="006E63C3">
      <w:r>
        <w:separator/>
      </w:r>
    </w:p>
  </w:endnote>
  <w:endnote w:type="continuationSeparator" w:id="0">
    <w:p w:rsidR="006E63C3" w:rsidRDefault="006E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33" w:rsidRPr="002466EB" w:rsidRDefault="005E3E33" w:rsidP="00BC1C8B">
    <w:pPr>
      <w:pStyle w:val="Footer"/>
      <w:rPr>
        <w:sz w:val="22"/>
        <w:szCs w:val="29"/>
      </w:rPr>
    </w:pPr>
    <w:r w:rsidRPr="002466EB">
      <w:rPr>
        <w:rStyle w:val="PageNumber"/>
        <w:sz w:val="22"/>
        <w:szCs w:val="29"/>
      </w:rPr>
      <w:fldChar w:fldCharType="begin"/>
    </w:r>
    <w:r w:rsidRPr="002466EB">
      <w:rPr>
        <w:rStyle w:val="PageNumber"/>
        <w:sz w:val="22"/>
        <w:szCs w:val="29"/>
      </w:rPr>
      <w:instrText xml:space="preserve"> PAGE </w:instrText>
    </w:r>
    <w:r w:rsidRPr="002466EB">
      <w:rPr>
        <w:rStyle w:val="PageNumber"/>
        <w:sz w:val="22"/>
        <w:szCs w:val="29"/>
      </w:rPr>
      <w:fldChar w:fldCharType="separate"/>
    </w:r>
    <w:r w:rsidR="002506E2">
      <w:rPr>
        <w:rStyle w:val="PageNumber"/>
        <w:sz w:val="22"/>
        <w:szCs w:val="29"/>
      </w:rPr>
      <w:t>10</w:t>
    </w:r>
    <w:r w:rsidRPr="002466EB">
      <w:rPr>
        <w:rStyle w:val="PageNumber"/>
        <w:sz w:val="22"/>
        <w:szCs w:val="2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33" w:rsidRPr="002466EB" w:rsidRDefault="005E3E33" w:rsidP="00DB1BE2">
    <w:pPr>
      <w:pStyle w:val="Footer"/>
      <w:jc w:val="right"/>
      <w:rPr>
        <w:sz w:val="26"/>
        <w:szCs w:val="22"/>
        <w:rtl/>
      </w:rPr>
    </w:pPr>
    <w:r w:rsidRPr="002466EB">
      <w:rPr>
        <w:rStyle w:val="PageNumber"/>
        <w:sz w:val="22"/>
        <w:szCs w:val="29"/>
      </w:rPr>
      <w:fldChar w:fldCharType="begin"/>
    </w:r>
    <w:r w:rsidRPr="002466EB">
      <w:rPr>
        <w:rStyle w:val="PageNumber"/>
        <w:sz w:val="22"/>
        <w:szCs w:val="29"/>
      </w:rPr>
      <w:instrText xml:space="preserve"> PAGE </w:instrText>
    </w:r>
    <w:r w:rsidRPr="002466EB">
      <w:rPr>
        <w:rStyle w:val="PageNumber"/>
        <w:sz w:val="22"/>
        <w:szCs w:val="29"/>
      </w:rPr>
      <w:fldChar w:fldCharType="separate"/>
    </w:r>
    <w:r w:rsidR="002506E2">
      <w:rPr>
        <w:rStyle w:val="PageNumber"/>
        <w:sz w:val="22"/>
        <w:szCs w:val="29"/>
      </w:rPr>
      <w:t>11</w:t>
    </w:r>
    <w:r w:rsidRPr="002466EB">
      <w:rPr>
        <w:rStyle w:val="PageNumber"/>
        <w:sz w:val="22"/>
        <w:szCs w:val="2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3C3" w:rsidRDefault="006E63C3">
      <w:r>
        <w:separator/>
      </w:r>
    </w:p>
  </w:footnote>
  <w:footnote w:type="continuationSeparator" w:id="0">
    <w:p w:rsidR="006E63C3" w:rsidRDefault="006E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33" w:rsidRDefault="005E3E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0477">
      <w:rPr>
        <w:rStyle w:val="PageNumber"/>
      </w:rPr>
      <w:t>2</w:t>
    </w:r>
    <w:r>
      <w:rPr>
        <w:rStyle w:val="PageNumber"/>
      </w:rPr>
      <w:fldChar w:fldCharType="end"/>
    </w:r>
  </w:p>
  <w:p w:rsidR="005E3E33" w:rsidRPr="003E6B8C" w:rsidRDefault="005E3E33">
    <w:pPr>
      <w:pStyle w:val="Header"/>
      <w:ind w:right="360"/>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33" w:rsidRPr="003E6B8C" w:rsidRDefault="005E3E33" w:rsidP="003E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E33" w:rsidRPr="00982934" w:rsidRDefault="005E3E33" w:rsidP="00982934">
    <w:pPr>
      <w:pStyle w:val="Header"/>
      <w:rPr>
        <w:szCs w:val="2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65BF"/>
    <w:multiLevelType w:val="hybridMultilevel"/>
    <w:tmpl w:val="3FCA7D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87"/>
    <w:rsid w:val="0001675E"/>
    <w:rsid w:val="00023467"/>
    <w:rsid w:val="0004094D"/>
    <w:rsid w:val="00056E89"/>
    <w:rsid w:val="00060561"/>
    <w:rsid w:val="00063EE5"/>
    <w:rsid w:val="00096037"/>
    <w:rsid w:val="000C4AC0"/>
    <w:rsid w:val="000E288B"/>
    <w:rsid w:val="000F7446"/>
    <w:rsid w:val="00105050"/>
    <w:rsid w:val="00117999"/>
    <w:rsid w:val="00123067"/>
    <w:rsid w:val="00125B4A"/>
    <w:rsid w:val="0013395B"/>
    <w:rsid w:val="001518D9"/>
    <w:rsid w:val="001661A5"/>
    <w:rsid w:val="0018166C"/>
    <w:rsid w:val="0018642C"/>
    <w:rsid w:val="00197C36"/>
    <w:rsid w:val="001B5B0B"/>
    <w:rsid w:val="001C2025"/>
    <w:rsid w:val="001C6C39"/>
    <w:rsid w:val="001E78F4"/>
    <w:rsid w:val="002466EB"/>
    <w:rsid w:val="002506E2"/>
    <w:rsid w:val="00263E89"/>
    <w:rsid w:val="00270690"/>
    <w:rsid w:val="00287325"/>
    <w:rsid w:val="00291D52"/>
    <w:rsid w:val="00293864"/>
    <w:rsid w:val="002A2EE5"/>
    <w:rsid w:val="002A6A3D"/>
    <w:rsid w:val="002D1A84"/>
    <w:rsid w:val="002E021D"/>
    <w:rsid w:val="002E1356"/>
    <w:rsid w:val="002E4426"/>
    <w:rsid w:val="002E453A"/>
    <w:rsid w:val="002E5D00"/>
    <w:rsid w:val="002F53C0"/>
    <w:rsid w:val="00320072"/>
    <w:rsid w:val="003261B4"/>
    <w:rsid w:val="0032686A"/>
    <w:rsid w:val="00333FB6"/>
    <w:rsid w:val="00340BE4"/>
    <w:rsid w:val="00355262"/>
    <w:rsid w:val="00385FC9"/>
    <w:rsid w:val="00395988"/>
    <w:rsid w:val="003A058C"/>
    <w:rsid w:val="003B1212"/>
    <w:rsid w:val="003B2DE6"/>
    <w:rsid w:val="003C3EBB"/>
    <w:rsid w:val="003E1CCE"/>
    <w:rsid w:val="003E4352"/>
    <w:rsid w:val="003E6B8C"/>
    <w:rsid w:val="00401FFD"/>
    <w:rsid w:val="00422195"/>
    <w:rsid w:val="00425CA5"/>
    <w:rsid w:val="0044117B"/>
    <w:rsid w:val="004416F2"/>
    <w:rsid w:val="00454DF9"/>
    <w:rsid w:val="00462CB8"/>
    <w:rsid w:val="00470C6D"/>
    <w:rsid w:val="00474DA7"/>
    <w:rsid w:val="00476AD2"/>
    <w:rsid w:val="004A1872"/>
    <w:rsid w:val="004B379B"/>
    <w:rsid w:val="004C6BFD"/>
    <w:rsid w:val="004E01B7"/>
    <w:rsid w:val="004E3DE2"/>
    <w:rsid w:val="004E6EBF"/>
    <w:rsid w:val="004F37DB"/>
    <w:rsid w:val="004F45E1"/>
    <w:rsid w:val="005006CF"/>
    <w:rsid w:val="005128ED"/>
    <w:rsid w:val="00524A2B"/>
    <w:rsid w:val="00531732"/>
    <w:rsid w:val="00534E5D"/>
    <w:rsid w:val="00536292"/>
    <w:rsid w:val="00537B2C"/>
    <w:rsid w:val="005516D1"/>
    <w:rsid w:val="00581E23"/>
    <w:rsid w:val="00595E32"/>
    <w:rsid w:val="005A7484"/>
    <w:rsid w:val="005A75EC"/>
    <w:rsid w:val="005A7BEC"/>
    <w:rsid w:val="005B39D6"/>
    <w:rsid w:val="005C2AB4"/>
    <w:rsid w:val="005D05F1"/>
    <w:rsid w:val="005D2DDC"/>
    <w:rsid w:val="005D5E78"/>
    <w:rsid w:val="005E3E33"/>
    <w:rsid w:val="00611350"/>
    <w:rsid w:val="006359EE"/>
    <w:rsid w:val="006454FB"/>
    <w:rsid w:val="00654A57"/>
    <w:rsid w:val="00665433"/>
    <w:rsid w:val="00680744"/>
    <w:rsid w:val="00684CDA"/>
    <w:rsid w:val="00693B84"/>
    <w:rsid w:val="006B7B24"/>
    <w:rsid w:val="006C1088"/>
    <w:rsid w:val="006C46C1"/>
    <w:rsid w:val="006D0727"/>
    <w:rsid w:val="006E3916"/>
    <w:rsid w:val="006E63C3"/>
    <w:rsid w:val="006F4369"/>
    <w:rsid w:val="007054D9"/>
    <w:rsid w:val="00715437"/>
    <w:rsid w:val="00726EE9"/>
    <w:rsid w:val="00731C02"/>
    <w:rsid w:val="007404B3"/>
    <w:rsid w:val="00745FEE"/>
    <w:rsid w:val="00752BCB"/>
    <w:rsid w:val="00761791"/>
    <w:rsid w:val="007762A6"/>
    <w:rsid w:val="00777D0D"/>
    <w:rsid w:val="00790281"/>
    <w:rsid w:val="0079416F"/>
    <w:rsid w:val="007A09E3"/>
    <w:rsid w:val="007A1354"/>
    <w:rsid w:val="007A2FB7"/>
    <w:rsid w:val="007D3FEA"/>
    <w:rsid w:val="007D733B"/>
    <w:rsid w:val="007E5187"/>
    <w:rsid w:val="007E7110"/>
    <w:rsid w:val="007F0A5E"/>
    <w:rsid w:val="007F2060"/>
    <w:rsid w:val="007F7661"/>
    <w:rsid w:val="0080146C"/>
    <w:rsid w:val="008138AB"/>
    <w:rsid w:val="00834C65"/>
    <w:rsid w:val="0085457C"/>
    <w:rsid w:val="00862CD0"/>
    <w:rsid w:val="00873587"/>
    <w:rsid w:val="008902EE"/>
    <w:rsid w:val="00896A3E"/>
    <w:rsid w:val="00897B72"/>
    <w:rsid w:val="008C6301"/>
    <w:rsid w:val="008D3585"/>
    <w:rsid w:val="00915D5B"/>
    <w:rsid w:val="00917E5C"/>
    <w:rsid w:val="00924CCF"/>
    <w:rsid w:val="00951144"/>
    <w:rsid w:val="00964E36"/>
    <w:rsid w:val="009674E3"/>
    <w:rsid w:val="00982934"/>
    <w:rsid w:val="00991278"/>
    <w:rsid w:val="009B254A"/>
    <w:rsid w:val="009C5497"/>
    <w:rsid w:val="009D1F6F"/>
    <w:rsid w:val="009D4E7D"/>
    <w:rsid w:val="009D5256"/>
    <w:rsid w:val="009E293F"/>
    <w:rsid w:val="009E3FD2"/>
    <w:rsid w:val="00A03571"/>
    <w:rsid w:val="00A03B06"/>
    <w:rsid w:val="00A05250"/>
    <w:rsid w:val="00A17A45"/>
    <w:rsid w:val="00A229BC"/>
    <w:rsid w:val="00A23447"/>
    <w:rsid w:val="00A23B28"/>
    <w:rsid w:val="00A35237"/>
    <w:rsid w:val="00A40076"/>
    <w:rsid w:val="00A43521"/>
    <w:rsid w:val="00A46C06"/>
    <w:rsid w:val="00A95281"/>
    <w:rsid w:val="00AA6C4C"/>
    <w:rsid w:val="00AB0477"/>
    <w:rsid w:val="00AE31C0"/>
    <w:rsid w:val="00AE3784"/>
    <w:rsid w:val="00AF7916"/>
    <w:rsid w:val="00B21F67"/>
    <w:rsid w:val="00B2443D"/>
    <w:rsid w:val="00B311D9"/>
    <w:rsid w:val="00B32A89"/>
    <w:rsid w:val="00B34ED6"/>
    <w:rsid w:val="00B458A8"/>
    <w:rsid w:val="00B5618F"/>
    <w:rsid w:val="00B63578"/>
    <w:rsid w:val="00BA179B"/>
    <w:rsid w:val="00BC1C8B"/>
    <w:rsid w:val="00BC5D37"/>
    <w:rsid w:val="00BC6B64"/>
    <w:rsid w:val="00BC6E1D"/>
    <w:rsid w:val="00C279B4"/>
    <w:rsid w:val="00C37BB1"/>
    <w:rsid w:val="00C45D9A"/>
    <w:rsid w:val="00C505C1"/>
    <w:rsid w:val="00C655D2"/>
    <w:rsid w:val="00C75439"/>
    <w:rsid w:val="00C82194"/>
    <w:rsid w:val="00CB4A27"/>
    <w:rsid w:val="00CE2AAA"/>
    <w:rsid w:val="00CF6E08"/>
    <w:rsid w:val="00D27D31"/>
    <w:rsid w:val="00D3450B"/>
    <w:rsid w:val="00D47A00"/>
    <w:rsid w:val="00D47A1F"/>
    <w:rsid w:val="00D607AE"/>
    <w:rsid w:val="00D651E9"/>
    <w:rsid w:val="00D74F7E"/>
    <w:rsid w:val="00D85F88"/>
    <w:rsid w:val="00D94B17"/>
    <w:rsid w:val="00DB1BE2"/>
    <w:rsid w:val="00DB26F4"/>
    <w:rsid w:val="00DC6ADC"/>
    <w:rsid w:val="00DE1826"/>
    <w:rsid w:val="00DE57E0"/>
    <w:rsid w:val="00DE6849"/>
    <w:rsid w:val="00DF0BE2"/>
    <w:rsid w:val="00DF6DF5"/>
    <w:rsid w:val="00E00352"/>
    <w:rsid w:val="00E03E41"/>
    <w:rsid w:val="00E21609"/>
    <w:rsid w:val="00E520AA"/>
    <w:rsid w:val="00E61E38"/>
    <w:rsid w:val="00E642A8"/>
    <w:rsid w:val="00EC195B"/>
    <w:rsid w:val="00EC5913"/>
    <w:rsid w:val="00ED6C0C"/>
    <w:rsid w:val="00ED7591"/>
    <w:rsid w:val="00EF6869"/>
    <w:rsid w:val="00EF77EA"/>
    <w:rsid w:val="00F02E90"/>
    <w:rsid w:val="00F16119"/>
    <w:rsid w:val="00F17B4B"/>
    <w:rsid w:val="00F33155"/>
    <w:rsid w:val="00F50FB5"/>
    <w:rsid w:val="00F65F7A"/>
    <w:rsid w:val="00F82598"/>
    <w:rsid w:val="00FA1857"/>
    <w:rsid w:val="00FA5C81"/>
    <w:rsid w:val="00FB16A6"/>
    <w:rsid w:val="00FC1258"/>
    <w:rsid w:val="00FC3F74"/>
    <w:rsid w:val="00FE0E55"/>
    <w:rsid w:val="00FE1F33"/>
    <w:rsid w:val="00FF55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FD8A27-5728-41F5-98F6-C7CA7746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4">
    <w:name w:val="heading 4"/>
    <w:basedOn w:val="Normal"/>
    <w:next w:val="Normal"/>
    <w:qFormat/>
    <w:pPr>
      <w:keepNext/>
      <w:widowControl w:val="0"/>
      <w:jc w:val="center"/>
      <w:outlineLvl w:val="3"/>
    </w:pPr>
    <w:rPr>
      <w:b/>
      <w:i/>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bidi/>
      <w:spacing w:line="400" w:lineRule="exact"/>
      <w:jc w:val="lowKashida"/>
      <w:outlineLvl w:val="0"/>
    </w:pPr>
    <w:rPr>
      <w:rFonts w:cs="Traditional Arabic"/>
      <w:b/>
      <w:bCs/>
      <w:noProof/>
      <w:w w:val="103"/>
      <w:kern w:val="14"/>
      <w:szCs w:val="34"/>
    </w:rPr>
  </w:style>
  <w:style w:type="paragraph" w:customStyle="1" w:styleId="HCh">
    <w:name w:val="_ H _Ch"/>
    <w:basedOn w:val="H1"/>
    <w:next w:val="Normal"/>
    <w:pPr>
      <w:spacing w:line="450" w:lineRule="exact"/>
      <w:jc w:val="both"/>
    </w:pPr>
    <w:rPr>
      <w:spacing w:val="-2"/>
      <w:sz w:val="28"/>
      <w:szCs w:val="38"/>
    </w:rPr>
  </w:style>
  <w:style w:type="paragraph" w:customStyle="1" w:styleId="HM">
    <w:name w:val="_ H __M"/>
    <w:basedOn w:val="HCh"/>
    <w:next w:val="Normal"/>
    <w:pPr>
      <w:spacing w:line="540" w:lineRule="exact"/>
    </w:pPr>
    <w:rPr>
      <w:spacing w:val="-3"/>
      <w:w w:val="99"/>
      <w:sz w:val="34"/>
      <w:szCs w:val="51"/>
    </w:rPr>
  </w:style>
  <w:style w:type="paragraph" w:customStyle="1" w:styleId="H23">
    <w:name w:val="_ H_2/3"/>
    <w:basedOn w:val="H1"/>
    <w:next w:val="Normal"/>
    <w:pPr>
      <w:jc w:val="both"/>
      <w:outlineLvl w:val="1"/>
    </w:pPr>
    <w:rPr>
      <w:spacing w:val="2"/>
      <w:sz w:val="20"/>
      <w:szCs w:val="30"/>
    </w:rPr>
  </w:style>
  <w:style w:type="paragraph" w:customStyle="1" w:styleId="H4">
    <w:name w:val="_ H_4"/>
    <w:basedOn w:val="Normal"/>
    <w:next w:val="Normal"/>
    <w:pPr>
      <w:keepNext/>
      <w:keepLines/>
      <w:suppressAutoHyphens/>
      <w:bidi/>
      <w:spacing w:line="360" w:lineRule="exact"/>
      <w:jc w:val="lowKashida"/>
      <w:outlineLvl w:val="3"/>
    </w:pPr>
    <w:rPr>
      <w:rFonts w:cs="Traditional Arabic"/>
      <w:i/>
      <w:iCs/>
      <w:noProof/>
      <w:spacing w:val="3"/>
      <w:w w:val="103"/>
      <w:kern w:val="14"/>
      <w:sz w:val="20"/>
      <w:szCs w:val="30"/>
    </w:rPr>
  </w:style>
  <w:style w:type="paragraph" w:customStyle="1" w:styleId="H56">
    <w:name w:val="_ H_5/6"/>
    <w:basedOn w:val="Normal"/>
    <w:next w:val="SingleTxt"/>
    <w:pPr>
      <w:keepNext/>
      <w:keepLines/>
      <w:suppressAutoHyphens/>
      <w:bidi/>
      <w:spacing w:line="360" w:lineRule="exact"/>
      <w:jc w:val="lowKashida"/>
      <w:outlineLvl w:val="4"/>
    </w:pPr>
    <w:rPr>
      <w:rFonts w:cs="Traditional Arabic"/>
      <w:noProof/>
      <w:w w:val="103"/>
      <w:kern w:val="14"/>
      <w:sz w:val="20"/>
      <w:szCs w:val="30"/>
    </w:rPr>
  </w:style>
  <w:style w:type="paragraph" w:customStyle="1" w:styleId="DualTxt">
    <w:name w:val="__Dual Txt"/>
    <w:basedOn w:val="Normal"/>
    <w:pPr>
      <w:tabs>
        <w:tab w:val="left" w:pos="662"/>
        <w:tab w:val="left" w:pos="1325"/>
        <w:tab w:val="left" w:pos="1987"/>
        <w:tab w:val="left" w:pos="2650"/>
        <w:tab w:val="left" w:pos="3312"/>
        <w:tab w:val="left" w:pos="3974"/>
        <w:tab w:val="left" w:pos="4637"/>
      </w:tabs>
      <w:bidi/>
      <w:spacing w:after="120" w:line="400" w:lineRule="exact"/>
      <w:jc w:val="lowKashida"/>
    </w:pPr>
    <w:rPr>
      <w:rFonts w:cs="Traditional Arabic"/>
      <w:noProof/>
      <w:w w:val="103"/>
      <w:kern w:val="14"/>
      <w:sz w:val="20"/>
      <w:szCs w:val="30"/>
    </w:rPr>
  </w:style>
  <w:style w:type="paragraph" w:customStyle="1" w:styleId="SingleTxt">
    <w:name w:val="__Single Txt"/>
    <w:basedOn w:val="Normal"/>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cs="Traditional Arabic"/>
      <w:noProof/>
      <w:w w:val="103"/>
      <w:kern w:val="14"/>
      <w:sz w:val="20"/>
      <w:szCs w:val="30"/>
    </w:rPr>
  </w:style>
  <w:style w:type="character" w:styleId="CommentReference">
    <w:name w:val="annotation reference"/>
    <w:semiHidden/>
    <w:rPr>
      <w:sz w:val="6"/>
      <w:szCs w:val="9"/>
    </w:rPr>
  </w:style>
  <w:style w:type="paragraph" w:styleId="FootnoteText">
    <w:name w:val="footnote text"/>
    <w:basedOn w:val="Normal"/>
    <w:semiHidden/>
    <w:pPr>
      <w:tabs>
        <w:tab w:val="right" w:pos="418"/>
      </w:tabs>
      <w:bidi/>
      <w:spacing w:line="300" w:lineRule="exact"/>
      <w:ind w:right="662" w:hanging="662"/>
      <w:jc w:val="lowKashida"/>
    </w:pPr>
    <w:rPr>
      <w:rFonts w:cs="Traditional Arabic"/>
      <w:noProof/>
      <w:kern w:val="14"/>
      <w:sz w:val="18"/>
      <w:szCs w:val="26"/>
    </w:rPr>
  </w:style>
  <w:style w:type="paragraph" w:styleId="EndnoteText">
    <w:name w:val="endnote text"/>
    <w:basedOn w:val="FootnoteText"/>
    <w:semiHidden/>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jc w:val="both"/>
    </w:pPr>
  </w:style>
  <w:style w:type="paragraph" w:styleId="Footer">
    <w:name w:val="footer"/>
    <w:pPr>
      <w:tabs>
        <w:tab w:val="center" w:pos="4320"/>
        <w:tab w:val="right" w:pos="8640"/>
      </w:tabs>
      <w:spacing w:line="210" w:lineRule="exact"/>
    </w:pPr>
    <w:rPr>
      <w:rFonts w:cs="Traditional Arabic"/>
      <w:b/>
      <w:bCs/>
      <w:noProof/>
      <w:sz w:val="18"/>
      <w:szCs w:val="25"/>
      <w:lang w:val="en-US" w:eastAsia="ar-SA"/>
    </w:rPr>
  </w:style>
  <w:style w:type="character" w:styleId="FootnoteReference">
    <w:name w:val="footnote reference"/>
    <w:semiHidden/>
    <w:rPr>
      <w:spacing w:val="-5"/>
      <w:w w:val="100"/>
      <w:position w:val="0"/>
      <w:vertAlign w:val="superscript"/>
    </w:rPr>
  </w:style>
  <w:style w:type="paragraph" w:styleId="Header">
    <w:name w:val="header"/>
    <w:pPr>
      <w:tabs>
        <w:tab w:val="center" w:pos="4320"/>
        <w:tab w:val="right" w:pos="8640"/>
      </w:tabs>
    </w:pPr>
    <w:rPr>
      <w:rFonts w:cs="Traditional Arabic"/>
      <w:b/>
      <w:bCs/>
      <w:noProof/>
      <w:w w:val="105"/>
      <w:sz w:val="18"/>
      <w:szCs w:val="25"/>
      <w:lang w:val="en-US" w:eastAsia="ar-SA"/>
    </w:rPr>
  </w:style>
  <w:style w:type="character" w:styleId="LineNumber">
    <w:name w:val="line number"/>
    <w:rPr>
      <w:sz w:val="14"/>
      <w:szCs w:val="16"/>
    </w:rPr>
  </w:style>
  <w:style w:type="paragraph" w:customStyle="1" w:styleId="Small">
    <w:name w:val="Small"/>
    <w:basedOn w:val="Normal"/>
    <w:next w:val="Normal"/>
    <w:pPr>
      <w:tabs>
        <w:tab w:val="right" w:leader="dot" w:pos="360"/>
      </w:tabs>
      <w:bidi/>
      <w:spacing w:line="310" w:lineRule="exact"/>
      <w:jc w:val="right"/>
    </w:pPr>
    <w:rPr>
      <w:rFonts w:cs="Traditional Arabic"/>
      <w:noProof/>
      <w:spacing w:val="5"/>
      <w:w w:val="104"/>
      <w:kern w:val="14"/>
      <w:sz w:val="17"/>
      <w:szCs w:val="25"/>
    </w:rPr>
  </w:style>
  <w:style w:type="paragraph" w:customStyle="1" w:styleId="SmallX">
    <w:name w:val="SmallX"/>
    <w:basedOn w:val="Small"/>
    <w:next w:val="Normal"/>
    <w:pPr>
      <w:spacing w:line="240" w:lineRule="exact"/>
      <w:jc w:val="left"/>
    </w:pPr>
    <w:rPr>
      <w:spacing w:val="6"/>
      <w:w w:val="106"/>
      <w:sz w:val="14"/>
      <w:szCs w:val="21"/>
    </w:rPr>
  </w:style>
  <w:style w:type="paragraph" w:customStyle="1" w:styleId="XLarge">
    <w:name w:val="XLarge"/>
    <w:basedOn w:val="HM"/>
    <w:pPr>
      <w:tabs>
        <w:tab w:val="right" w:leader="dot" w:pos="360"/>
      </w:tabs>
      <w:spacing w:line="580" w:lineRule="exact"/>
      <w:jc w:val="right"/>
    </w:pPr>
    <w:rPr>
      <w:spacing w:val="-4"/>
      <w:w w:val="98"/>
      <w:sz w:val="40"/>
      <w:szCs w:val="60"/>
    </w:rPr>
  </w:style>
  <w:style w:type="paragraph" w:customStyle="1" w:styleId="XXLarge">
    <w:name w:val="XXLarge"/>
    <w:basedOn w:val="XLarge"/>
    <w:next w:val="Normal"/>
    <w:pPr>
      <w:spacing w:line="820" w:lineRule="exact"/>
      <w:jc w:val="left"/>
    </w:pPr>
    <w:rPr>
      <w:noProof w:val="0"/>
      <w:spacing w:val="-8"/>
      <w:w w:val="96"/>
      <w:sz w:val="57"/>
      <w:szCs w:val="86"/>
    </w:rPr>
  </w:style>
  <w:style w:type="character" w:styleId="Hyperlink">
    <w:name w:val="Hyperlink"/>
    <w:rPr>
      <w:color w:val="0000FF"/>
      <w:u w:val="single"/>
    </w:rPr>
  </w:style>
  <w:style w:type="character" w:styleId="PageNumber">
    <w:name w:val="page number"/>
    <w:basedOn w:val="DefaultParagraphFont"/>
  </w:style>
  <w:style w:type="paragraph" w:styleId="BalloonText">
    <w:name w:val="Balloon Text"/>
    <w:basedOn w:val="Normal"/>
    <w:semiHidden/>
    <w:rsid w:val="00731C02"/>
    <w:rPr>
      <w:rFonts w:ascii="Tahoma" w:hAnsi="Tahoma" w:cs="Tahoma"/>
      <w:sz w:val="16"/>
      <w:szCs w:val="16"/>
    </w:rPr>
  </w:style>
  <w:style w:type="character" w:styleId="FollowedHyperlink">
    <w:name w:val="FollowedHyperlink"/>
    <w:rsid w:val="003B2DE6"/>
    <w:rPr>
      <w:color w:val="800080"/>
      <w:u w:val="single"/>
    </w:rPr>
  </w:style>
  <w:style w:type="paragraph" w:styleId="ListParagraph">
    <w:name w:val="List Paragraph"/>
    <w:basedOn w:val="Normal"/>
    <w:qFormat/>
    <w:rsid w:val="0080146C"/>
    <w:pPr>
      <w:widowControl w:val="0"/>
      <w:ind w:left="720"/>
      <w:contextualSpacing/>
    </w:pPr>
    <w:rPr>
      <w:snapToGrid w:val="0"/>
    </w:rPr>
  </w:style>
  <w:style w:type="character" w:customStyle="1" w:styleId="apple-converted-space">
    <w:name w:val="apple-converted-space"/>
    <w:rsid w:val="004A1872"/>
  </w:style>
  <w:style w:type="table" w:styleId="TableGrid">
    <w:name w:val="Table Grid"/>
    <w:basedOn w:val="TableNormal"/>
    <w:rsid w:val="001C202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ga.teruel@u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nodc-sgb@u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1123</Words>
  <Characters>6729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تنفيذ التوصيات التي اعتمدتها الدورة الثانية والأربعون للجنة الفرعية المعنية بالاتجار غير المشروع بالمخدرات والمسائل ذات الصلة</vt:lpstr>
    </vt:vector>
  </TitlesOfParts>
  <Company>UNOV</Company>
  <LinksUpToDate>false</LinksUpToDate>
  <CharactersWithSpaces>7837</CharactersWithSpaces>
  <SharedDoc>false</SharedDoc>
  <HLinks>
    <vt:vector size="6" baseType="variant">
      <vt:variant>
        <vt:i4>131131</vt:i4>
      </vt:variant>
      <vt:variant>
        <vt:i4>0</vt:i4>
      </vt:variant>
      <vt:variant>
        <vt:i4>0</vt:i4>
      </vt:variant>
      <vt:variant>
        <vt:i4>5</vt:i4>
      </vt:variant>
      <vt:variant>
        <vt:lpwstr>mailto:sgb@unodc.org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تنفيذ التوصيات التي اعتمدتها الدورة الثانية والأربعون للجنة الفرعية المعنية بالاتجار غير المشروع بالمخدرات والمسائل ذات الصلة</dc:title>
  <dc:creator>borhan</dc:creator>
  <cp:lastModifiedBy>Olga Teruel Ampuy</cp:lastModifiedBy>
  <cp:revision>2</cp:revision>
  <cp:lastPrinted>2018-06-20T09:05:00Z</cp:lastPrinted>
  <dcterms:created xsi:type="dcterms:W3CDTF">2018-06-22T08:27:00Z</dcterms:created>
  <dcterms:modified xsi:type="dcterms:W3CDTF">2018-06-22T08:27:00Z</dcterms:modified>
</cp:coreProperties>
</file>