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F9" w:rsidRDefault="009D1DF9" w:rsidP="009D1DF9">
      <w:pPr>
        <w:spacing w:line="20" w:lineRule="exact"/>
        <w:rPr>
          <w:lang w:val="en-GB"/>
        </w:rPr>
        <w:sectPr w:rsidR="009D1DF9" w:rsidSect="00DA2C12">
          <w:footerReference w:type="default" r:id="rId8"/>
          <w:pgSz w:w="12240" w:h="15840"/>
          <w:pgMar w:top="720" w:right="720" w:bottom="720" w:left="720" w:header="708" w:footer="708" w:gutter="0"/>
          <w:cols w:space="708"/>
          <w:docGrid w:linePitch="360"/>
        </w:sectPr>
      </w:pPr>
    </w:p>
    <w:p w:rsidR="00DA2C12" w:rsidRPr="00DA2C12" w:rsidRDefault="00DA2C12" w:rsidP="00DA2C12">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t>Implementation of the recommendations</w:t>
      </w:r>
    </w:p>
    <w:p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adopted by the Fift</w:t>
      </w:r>
      <w:r w:rsidR="00E806FA">
        <w:rPr>
          <w:rFonts w:eastAsia="Times New Roman"/>
          <w:b/>
          <w:bCs/>
          <w:snapToGrid w:val="0"/>
          <w:sz w:val="30"/>
          <w:lang w:val="en-GB" w:eastAsia="en-US"/>
        </w:rPr>
        <w:t>y-se</w:t>
      </w:r>
      <w:r w:rsidR="003B4D32">
        <w:rPr>
          <w:rFonts w:eastAsia="Times New Roman"/>
          <w:b/>
          <w:bCs/>
          <w:snapToGrid w:val="0"/>
          <w:sz w:val="30"/>
          <w:lang w:val="en-GB" w:eastAsia="en-US"/>
        </w:rPr>
        <w:t>c</w:t>
      </w:r>
      <w:r w:rsidR="00E806FA">
        <w:rPr>
          <w:rFonts w:eastAsia="Times New Roman"/>
          <w:b/>
          <w:bCs/>
          <w:snapToGrid w:val="0"/>
          <w:sz w:val="30"/>
          <w:lang w:val="en-GB" w:eastAsia="en-US"/>
        </w:rPr>
        <w:t>ond</w:t>
      </w:r>
      <w:r w:rsidRPr="001A4CE4">
        <w:rPr>
          <w:rFonts w:eastAsia="Times New Roman"/>
          <w:b/>
          <w:bCs/>
          <w:snapToGrid w:val="0"/>
          <w:sz w:val="30"/>
          <w:lang w:val="en-GB" w:eastAsia="en-US"/>
        </w:rPr>
        <w:t xml:space="preserve"> session of the </w:t>
      </w:r>
      <w:proofErr w:type="spellStart"/>
      <w:r w:rsidRPr="001A4CE4">
        <w:rPr>
          <w:rFonts w:eastAsia="Times New Roman"/>
          <w:b/>
          <w:bCs/>
          <w:snapToGrid w:val="0"/>
          <w:sz w:val="30"/>
          <w:lang w:val="en-GB" w:eastAsia="en-US"/>
        </w:rPr>
        <w:t>Subcommission</w:t>
      </w:r>
      <w:proofErr w:type="spellEnd"/>
      <w:r w:rsidRPr="001A4CE4">
        <w:rPr>
          <w:rFonts w:eastAsia="Times New Roman"/>
          <w:b/>
          <w:bCs/>
          <w:snapToGrid w:val="0"/>
          <w:sz w:val="30"/>
          <w:lang w:val="en-GB" w:eastAsia="en-US"/>
        </w:rPr>
        <w:t xml:space="preserve"> on Illicit Drug Traffic and Related Matters in the Near and Middle East, </w:t>
      </w:r>
    </w:p>
    <w:p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 xml:space="preserve">held in </w:t>
      </w:r>
      <w:r w:rsidR="00E806FA">
        <w:rPr>
          <w:rFonts w:eastAsia="Times New Roman"/>
          <w:b/>
          <w:bCs/>
          <w:snapToGrid w:val="0"/>
          <w:sz w:val="30"/>
          <w:lang w:val="en-GB" w:eastAsia="en-US"/>
        </w:rPr>
        <w:t>Beirut</w:t>
      </w:r>
      <w:r w:rsidRPr="001A4CE4">
        <w:rPr>
          <w:rFonts w:eastAsia="Times New Roman"/>
          <w:b/>
          <w:bCs/>
          <w:snapToGrid w:val="0"/>
          <w:sz w:val="30"/>
          <w:lang w:val="en-GB" w:eastAsia="en-US"/>
        </w:rPr>
        <w:t xml:space="preserve"> from </w:t>
      </w:r>
      <w:r w:rsidR="00E806FA">
        <w:rPr>
          <w:rFonts w:eastAsia="Times New Roman"/>
          <w:b/>
          <w:bCs/>
          <w:snapToGrid w:val="0"/>
          <w:sz w:val="30"/>
          <w:lang w:val="en-GB" w:eastAsia="en-US"/>
        </w:rPr>
        <w:t>13</w:t>
      </w:r>
      <w:r w:rsidRPr="001A4CE4">
        <w:rPr>
          <w:rFonts w:eastAsia="Times New Roman"/>
          <w:b/>
          <w:bCs/>
          <w:snapToGrid w:val="0"/>
          <w:sz w:val="30"/>
          <w:lang w:val="en-GB" w:eastAsia="en-US"/>
        </w:rPr>
        <w:t xml:space="preserve"> to </w:t>
      </w:r>
      <w:r w:rsidR="00E806FA">
        <w:rPr>
          <w:rFonts w:eastAsia="Times New Roman"/>
          <w:b/>
          <w:bCs/>
          <w:snapToGrid w:val="0"/>
          <w:sz w:val="30"/>
          <w:lang w:val="en-GB" w:eastAsia="en-US"/>
        </w:rPr>
        <w:t>17</w:t>
      </w:r>
      <w:r w:rsidRPr="001A4CE4">
        <w:rPr>
          <w:rFonts w:eastAsia="Times New Roman"/>
          <w:b/>
          <w:bCs/>
          <w:snapToGrid w:val="0"/>
          <w:sz w:val="30"/>
          <w:lang w:val="en-GB" w:eastAsia="en-US"/>
        </w:rPr>
        <w:t xml:space="preserve"> November 201</w:t>
      </w:r>
      <w:r w:rsidR="00E806FA">
        <w:rPr>
          <w:rFonts w:eastAsia="Times New Roman"/>
          <w:b/>
          <w:bCs/>
          <w:snapToGrid w:val="0"/>
          <w:sz w:val="30"/>
          <w:lang w:val="en-GB" w:eastAsia="en-US"/>
        </w:rPr>
        <w:t>7</w:t>
      </w:r>
      <w:bookmarkStart w:id="0" w:name="_GoBack"/>
      <w:bookmarkEnd w:id="0"/>
    </w:p>
    <w:p w:rsidR="00E04B90" w:rsidRDefault="00E04B90" w:rsidP="00DA2C12">
      <w:pPr>
        <w:jc w:val="center"/>
        <w:rPr>
          <w:b/>
          <w:lang w:val="en-GB"/>
        </w:rPr>
      </w:pPr>
    </w:p>
    <w:p w:rsidR="00DA2C12" w:rsidRPr="00C6590F" w:rsidRDefault="00E04B90" w:rsidP="00DA2C12">
      <w:pPr>
        <w:jc w:val="center"/>
        <w:rPr>
          <w:b/>
          <w:sz w:val="28"/>
          <w:szCs w:val="28"/>
          <w:lang w:val="en-GB"/>
        </w:rPr>
      </w:pPr>
      <w:r w:rsidRPr="00C6590F">
        <w:rPr>
          <w:b/>
          <w:sz w:val="28"/>
          <w:szCs w:val="28"/>
          <w:lang w:val="en-GB"/>
        </w:rPr>
        <w:t>QUESTIONNAIRE</w:t>
      </w:r>
    </w:p>
    <w:p w:rsidR="00E04B90" w:rsidRDefault="00E04B90" w:rsidP="00C6590F">
      <w:pPr>
        <w:rPr>
          <w:b/>
          <w:lang w:val="en-GB"/>
        </w:rPr>
      </w:pPr>
    </w:p>
    <w:tbl>
      <w:tblPr>
        <w:tblStyle w:val="TableGrid"/>
        <w:tblpPr w:leftFromText="180" w:rightFromText="180" w:vertAnchor="page" w:horzAnchor="margin" w:tblpXSpec="center" w:tblpY="2743"/>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9D1DF9" w:rsidTr="009D1DF9">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sz w:val="28"/>
                <w:szCs w:val="28"/>
                <w:lang w:val="en-GB"/>
              </w:rPr>
            </w:pPr>
          </w:p>
          <w:p w:rsidR="009D1DF9" w:rsidRPr="00F36455" w:rsidRDefault="009D1DF9" w:rsidP="009D1DF9">
            <w:pPr>
              <w:jc w:val="center"/>
              <w:rPr>
                <w:b/>
                <w:lang w:val="en-GB"/>
              </w:rPr>
            </w:pPr>
            <w:r w:rsidRPr="00F36455">
              <w:rPr>
                <w:b/>
                <w:lang w:val="en-GB"/>
              </w:rPr>
              <w:t>Submission Information</w:t>
            </w:r>
          </w:p>
          <w:p w:rsidR="009D1DF9" w:rsidRPr="00DA2C12" w:rsidRDefault="009D1DF9" w:rsidP="009D1DF9">
            <w:pPr>
              <w:rPr>
                <w:b/>
                <w:sz w:val="28"/>
                <w:szCs w:val="28"/>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2"/>
                  <w:enabled/>
                  <w:calcOnExit w:val="0"/>
                  <w:textInput/>
                </w:ffData>
              </w:fldChar>
            </w:r>
            <w:bookmarkStart w:id="1"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lang w:val="en-GB"/>
              </w:rPr>
            </w:pPr>
          </w:p>
          <w:p w:rsidR="009D1DF9" w:rsidRDefault="009D1DF9" w:rsidP="009D1DF9">
            <w:pPr>
              <w:jc w:val="center"/>
              <w:rPr>
                <w:b/>
                <w:lang w:val="en-GB"/>
              </w:rPr>
            </w:pPr>
            <w:r w:rsidRPr="00E04B90">
              <w:rPr>
                <w:b/>
                <w:lang w:val="en-GB"/>
              </w:rPr>
              <w:t>Information for follow-up purposes</w:t>
            </w:r>
          </w:p>
          <w:p w:rsidR="009D1DF9" w:rsidRPr="00E04B90" w:rsidRDefault="009D1DF9" w:rsidP="009D1DF9">
            <w:pPr>
              <w:rPr>
                <w:b/>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fldChar w:fldCharType="begin">
                <w:ffData>
                  <w:name w:val="Text5"/>
                  <w:enabled/>
                  <w:calcOnExit w:val="0"/>
                  <w:textInput/>
                </w:ffData>
              </w:fldChar>
            </w:r>
            <w:bookmarkStart w:id="4"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6"/>
                  <w:enabled/>
                  <w:calcOnExit w:val="0"/>
                  <w:textInput/>
                </w:ffData>
              </w:fldChar>
            </w:r>
            <w:bookmarkStart w:id="5"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7"/>
                  <w:enabled/>
                  <w:calcOnExit w:val="0"/>
                  <w:textInput/>
                </w:ffData>
              </w:fldChar>
            </w:r>
            <w:bookmarkStart w:id="6"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8"/>
                  <w:enabled/>
                  <w:calcOnExit w:val="0"/>
                  <w:textInput/>
                </w:ffData>
              </w:fldChar>
            </w:r>
            <w:bookmarkStart w:id="7"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lang w:val="en-GB"/>
              </w:rPr>
            </w:pPr>
          </w:p>
          <w:p w:rsidR="009D1DF9" w:rsidRDefault="009D1DF9" w:rsidP="009D1DF9">
            <w:pPr>
              <w:jc w:val="center"/>
              <w:rPr>
                <w:b/>
                <w:lang w:val="en-GB"/>
              </w:rPr>
            </w:pPr>
            <w:r w:rsidRPr="00E04B90">
              <w:rPr>
                <w:b/>
                <w:lang w:val="en-GB"/>
              </w:rPr>
              <w:t>Publishing on the UNODC website</w:t>
            </w:r>
          </w:p>
          <w:p w:rsidR="009D1DF9" w:rsidRPr="00E04B90" w:rsidRDefault="009D1DF9" w:rsidP="009D1DF9">
            <w:pPr>
              <w:rPr>
                <w:b/>
                <w:lang w:val="en-GB"/>
              </w:rPr>
            </w:pPr>
          </w:p>
        </w:tc>
      </w:tr>
      <w:tr w:rsidR="009D1DF9" w:rsidTr="009D1DF9">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9D1DF9" w:rsidRDefault="009D1DF9" w:rsidP="009D1DF9">
            <w:pPr>
              <w:spacing w:after="120"/>
              <w:rPr>
                <w:lang w:val="en-GB"/>
              </w:rPr>
            </w:pPr>
            <w:r>
              <w:rPr>
                <w:lang w:val="en-GB"/>
              </w:rPr>
              <w:t xml:space="preserve">Do you agree to post the questionnaire “as </w:t>
            </w:r>
            <w:proofErr w:type="gramStart"/>
            <w:r>
              <w:rPr>
                <w:lang w:val="en-GB"/>
              </w:rPr>
              <w:t>received”</w:t>
            </w:r>
            <w:proofErr w:type="gramEnd"/>
            <w:r>
              <w:rPr>
                <w:lang w:val="en-GB"/>
              </w:rPr>
              <w:t xml:space="preserve"> </w:t>
            </w:r>
          </w:p>
          <w:p w:rsidR="009D1DF9" w:rsidRDefault="009D1DF9" w:rsidP="009D1DF9">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9D1DF9" w:rsidRDefault="009D1DF9" w:rsidP="009D1DF9">
            <w:pPr>
              <w:spacing w:after="120"/>
              <w:rPr>
                <w:lang w:val="en-GB"/>
              </w:rPr>
            </w:pPr>
            <w:r>
              <w:rPr>
                <w:lang w:val="en-GB"/>
              </w:rPr>
              <w:fldChar w:fldCharType="begin">
                <w:ffData>
                  <w:name w:val="Check1"/>
                  <w:enabled/>
                  <w:calcOnExit w:val="0"/>
                  <w:checkBox>
                    <w:sizeAuto/>
                    <w:default w:val="0"/>
                    <w:checked w:val="0"/>
                  </w:checkBox>
                </w:ffData>
              </w:fldChar>
            </w:r>
            <w:bookmarkStart w:id="8" w:name="Check1"/>
            <w:r>
              <w:rPr>
                <w:lang w:val="en-GB"/>
              </w:rPr>
              <w:instrText xml:space="preserve"> FORMCHECKBOX </w:instrText>
            </w:r>
            <w:r w:rsidR="00C62E8A">
              <w:rPr>
                <w:lang w:val="en-GB"/>
              </w:rPr>
            </w:r>
            <w:r w:rsidR="00C62E8A">
              <w:rPr>
                <w:lang w:val="en-GB"/>
              </w:rPr>
              <w:fldChar w:fldCharType="separate"/>
            </w:r>
            <w:r>
              <w:rPr>
                <w:lang w:val="en-GB"/>
              </w:rPr>
              <w:fldChar w:fldCharType="end"/>
            </w:r>
            <w:bookmarkEnd w:id="8"/>
            <w:r>
              <w:rPr>
                <w:lang w:val="en-GB"/>
              </w:rPr>
              <w:t xml:space="preserve"> YES</w:t>
            </w:r>
          </w:p>
          <w:p w:rsidR="009D1DF9" w:rsidRDefault="009D1DF9" w:rsidP="009D1DF9">
            <w:pPr>
              <w:spacing w:after="120"/>
              <w:rPr>
                <w:lang w:val="en-GB"/>
              </w:rPr>
            </w:pPr>
            <w:r>
              <w:rPr>
                <w:lang w:val="en-GB"/>
              </w:rPr>
              <w:fldChar w:fldCharType="begin">
                <w:ffData>
                  <w:name w:val="Check2"/>
                  <w:enabled/>
                  <w:calcOnExit w:val="0"/>
                  <w:checkBox>
                    <w:sizeAuto/>
                    <w:default w:val="0"/>
                    <w:checked w:val="0"/>
                  </w:checkBox>
                </w:ffData>
              </w:fldChar>
            </w:r>
            <w:bookmarkStart w:id="9" w:name="Check2"/>
            <w:r>
              <w:rPr>
                <w:lang w:val="en-GB"/>
              </w:rPr>
              <w:instrText xml:space="preserve"> FORMCHECKBOX </w:instrText>
            </w:r>
            <w:r w:rsidR="00C62E8A">
              <w:rPr>
                <w:lang w:val="en-GB"/>
              </w:rPr>
            </w:r>
            <w:r w:rsidR="00C62E8A">
              <w:rPr>
                <w:lang w:val="en-GB"/>
              </w:rPr>
              <w:fldChar w:fldCharType="separate"/>
            </w:r>
            <w:r>
              <w:rPr>
                <w:lang w:val="en-GB"/>
              </w:rPr>
              <w:fldChar w:fldCharType="end"/>
            </w:r>
            <w:bookmarkEnd w:id="9"/>
            <w:r>
              <w:rPr>
                <w:lang w:val="en-GB"/>
              </w:rPr>
              <w:t xml:space="preserve"> NO</w:t>
            </w:r>
          </w:p>
        </w:tc>
      </w:tr>
    </w:tbl>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E04B90">
        <w:rPr>
          <w:rFonts w:eastAsia="Times New Roman"/>
          <w:b/>
          <w:bCs/>
          <w:spacing w:val="4"/>
          <w:w w:val="103"/>
          <w:kern w:val="14"/>
          <w:sz w:val="22"/>
          <w:szCs w:val="22"/>
          <w:lang w:val="en-GB" w:eastAsia="en-US"/>
        </w:rPr>
        <w:t>Secretariat to the Governing Bodies</w:t>
      </w:r>
    </w:p>
    <w:p w:rsidR="00782AE3" w:rsidRDefault="00C6590F" w:rsidP="00C6590F">
      <w:pPr>
        <w:tabs>
          <w:tab w:val="center" w:pos="5400"/>
          <w:tab w:val="right" w:pos="10800"/>
        </w:tabs>
        <w:suppressAutoHyphens/>
        <w:spacing w:line="240" w:lineRule="exact"/>
        <w:rPr>
          <w:rFonts w:eastAsia="Times New Roman"/>
          <w:b/>
          <w:bCs/>
          <w:spacing w:val="4"/>
          <w:w w:val="103"/>
          <w:kern w:val="14"/>
          <w:sz w:val="22"/>
          <w:szCs w:val="22"/>
          <w:lang w:val="de-AT" w:eastAsia="en-US"/>
        </w:rPr>
      </w:pPr>
      <w:r>
        <w:rPr>
          <w:rFonts w:eastAsia="Times New Roman"/>
          <w:b/>
          <w:bCs/>
          <w:spacing w:val="4"/>
          <w:w w:val="103"/>
          <w:kern w:val="14"/>
          <w:sz w:val="22"/>
          <w:szCs w:val="22"/>
          <w:lang w:val="en-GB" w:eastAsia="en-US"/>
        </w:rPr>
        <w:tab/>
      </w:r>
      <w:r w:rsidR="00E04B90" w:rsidRPr="008249DA">
        <w:rPr>
          <w:rFonts w:eastAsia="Times New Roman"/>
          <w:b/>
          <w:bCs/>
          <w:spacing w:val="4"/>
          <w:w w:val="103"/>
          <w:kern w:val="14"/>
          <w:sz w:val="22"/>
          <w:szCs w:val="22"/>
          <w:lang w:val="de-AT" w:eastAsia="en-US"/>
        </w:rPr>
        <w:t>E-mail:</w:t>
      </w:r>
      <w:hyperlink r:id="rId9" w:history="1">
        <w:r w:rsidR="003B4D32" w:rsidRPr="00C62E8A">
          <w:rPr>
            <w:rStyle w:val="Hyperlink"/>
            <w:rFonts w:eastAsia="Times New Roman"/>
            <w:spacing w:val="4"/>
            <w:w w:val="103"/>
            <w:kern w:val="14"/>
            <w:sz w:val="22"/>
            <w:szCs w:val="22"/>
            <w:lang w:val="de-AT" w:eastAsia="en-US"/>
          </w:rPr>
          <w:t>unodc-sgb@un.org</w:t>
        </w:r>
      </w:hyperlink>
      <w:r w:rsidR="003B4D32" w:rsidRPr="00C62E8A">
        <w:rPr>
          <w:rFonts w:eastAsia="Times New Roman"/>
          <w:color w:val="0000FF"/>
          <w:spacing w:val="4"/>
          <w:w w:val="103"/>
          <w:kern w:val="14"/>
          <w:sz w:val="22"/>
          <w:szCs w:val="22"/>
          <w:u w:val="single"/>
          <w:lang w:val="de-AT" w:eastAsia="en-US"/>
        </w:rPr>
        <w:t xml:space="preserve"> </w:t>
      </w:r>
      <w:r w:rsidR="00E04B90" w:rsidRPr="008249DA">
        <w:rPr>
          <w:rFonts w:eastAsia="Times New Roman"/>
          <w:b/>
          <w:bCs/>
          <w:spacing w:val="4"/>
          <w:w w:val="103"/>
          <w:kern w:val="14"/>
          <w:sz w:val="22"/>
          <w:szCs w:val="22"/>
          <w:lang w:val="de-AT" w:eastAsia="en-US"/>
        </w:rPr>
        <w:t xml:space="preserve"> </w:t>
      </w:r>
    </w:p>
    <w:p w:rsidR="00782AE3" w:rsidRDefault="00782AE3" w:rsidP="000D7F55">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Pr>
          <w:rFonts w:eastAsia="Times New Roman"/>
          <w:b/>
          <w:bCs/>
          <w:spacing w:val="4"/>
          <w:w w:val="103"/>
          <w:kern w:val="14"/>
          <w:sz w:val="22"/>
          <w:szCs w:val="22"/>
          <w:lang w:val="de-AT" w:eastAsia="en-US"/>
        </w:rPr>
        <w:t xml:space="preserve">Copy: </w:t>
      </w:r>
      <w:hyperlink r:id="rId10" w:history="1">
        <w:r w:rsidR="003B4D32" w:rsidRPr="00C62E8A">
          <w:rPr>
            <w:rStyle w:val="Hyperlink"/>
            <w:sz w:val="22"/>
            <w:szCs w:val="22"/>
          </w:rPr>
          <w:t>simone.rupprich@un.org</w:t>
        </w:r>
      </w:hyperlink>
      <w:r w:rsidR="003B4D32" w:rsidRPr="00C62E8A">
        <w:rPr>
          <w:rStyle w:val="Hyperlink"/>
          <w:sz w:val="22"/>
          <w:szCs w:val="22"/>
        </w:rPr>
        <w:t xml:space="preserve"> </w:t>
      </w:r>
      <w:r w:rsidRPr="00782AE3">
        <w:rPr>
          <w:rFonts w:eastAsia="Times New Roman"/>
          <w:b/>
          <w:bCs/>
          <w:spacing w:val="4"/>
          <w:w w:val="103"/>
          <w:kern w:val="14"/>
          <w:sz w:val="22"/>
          <w:szCs w:val="22"/>
          <w:lang w:val="en-GB" w:eastAsia="en-US"/>
        </w:rPr>
        <w:t xml:space="preserve"> </w:t>
      </w:r>
    </w:p>
    <w:p w:rsidR="00782AE3"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de-AT" w:eastAsia="en-US"/>
        </w:rPr>
      </w:pPr>
      <w:r w:rsidRPr="00E04B90">
        <w:rPr>
          <w:rFonts w:eastAsia="Times New Roman"/>
          <w:b/>
          <w:bCs/>
          <w:spacing w:val="4"/>
          <w:w w:val="103"/>
          <w:kern w:val="14"/>
          <w:sz w:val="22"/>
          <w:szCs w:val="22"/>
          <w:lang w:val="en-GB" w:eastAsia="en-US"/>
        </w:rPr>
        <w:t>United Nations Office on Drugs and Crime (UNODC)</w:t>
      </w:r>
    </w:p>
    <w:p w:rsidR="00E04B90" w:rsidRPr="008249DA" w:rsidRDefault="00E04B90" w:rsidP="00E04B90">
      <w:pPr>
        <w:suppressAutoHyphens/>
        <w:spacing w:line="240" w:lineRule="exact"/>
        <w:jc w:val="center"/>
        <w:rPr>
          <w:rFonts w:eastAsia="Times New Roman"/>
          <w:b/>
          <w:spacing w:val="4"/>
          <w:w w:val="103"/>
          <w:kern w:val="14"/>
          <w:lang w:val="de-AT" w:eastAsia="en-US"/>
        </w:rPr>
      </w:pPr>
    </w:p>
    <w:p w:rsidR="00E04B90" w:rsidRPr="00782AE3" w:rsidRDefault="00E04B90" w:rsidP="000D7F55">
      <w:pPr>
        <w:suppressAutoHyphens/>
        <w:spacing w:line="240" w:lineRule="exact"/>
        <w:jc w:val="center"/>
        <w:rPr>
          <w:rFonts w:eastAsia="Times New Roman"/>
          <w:b/>
          <w:spacing w:val="4"/>
          <w:w w:val="103"/>
          <w:kern w:val="14"/>
          <w:sz w:val="28"/>
          <w:szCs w:val="28"/>
          <w:lang w:val="en-GB" w:eastAsia="en-US"/>
        </w:rPr>
      </w:pPr>
      <w:r w:rsidRPr="00782AE3">
        <w:rPr>
          <w:rFonts w:eastAsia="Times New Roman"/>
          <w:b/>
          <w:spacing w:val="4"/>
          <w:w w:val="103"/>
          <w:kern w:val="14"/>
          <w:sz w:val="28"/>
          <w:szCs w:val="28"/>
          <w:lang w:val="en-GB" w:eastAsia="en-US"/>
        </w:rPr>
        <w:t xml:space="preserve">by </w:t>
      </w:r>
      <w:r w:rsidR="0042042A" w:rsidRPr="0042042A">
        <w:rPr>
          <w:rFonts w:eastAsia="Times New Roman"/>
          <w:b/>
          <w:spacing w:val="4"/>
          <w:w w:val="103"/>
          <w:kern w:val="14"/>
          <w:sz w:val="28"/>
          <w:szCs w:val="28"/>
          <w:lang w:val="en-GB" w:eastAsia="en-US"/>
        </w:rPr>
        <w:t>14</w:t>
      </w:r>
      <w:r w:rsidR="00485C82" w:rsidRPr="0042042A">
        <w:rPr>
          <w:rFonts w:eastAsia="Times New Roman"/>
          <w:b/>
          <w:spacing w:val="4"/>
          <w:w w:val="103"/>
          <w:kern w:val="14"/>
          <w:sz w:val="28"/>
          <w:szCs w:val="28"/>
          <w:lang w:val="en-GB" w:eastAsia="en-US"/>
        </w:rPr>
        <w:t xml:space="preserve"> </w:t>
      </w:r>
      <w:r w:rsidR="003B4D32" w:rsidRPr="0042042A">
        <w:rPr>
          <w:rFonts w:eastAsia="Times New Roman"/>
          <w:b/>
          <w:spacing w:val="4"/>
          <w:w w:val="103"/>
          <w:kern w:val="14"/>
          <w:sz w:val="28"/>
          <w:szCs w:val="28"/>
          <w:lang w:val="en-GB" w:eastAsia="en-US"/>
        </w:rPr>
        <w:t>June</w:t>
      </w:r>
      <w:r w:rsidR="00485C82" w:rsidRPr="00782AE3">
        <w:rPr>
          <w:rFonts w:eastAsia="Times New Roman"/>
          <w:b/>
          <w:spacing w:val="4"/>
          <w:w w:val="103"/>
          <w:kern w:val="14"/>
          <w:sz w:val="28"/>
          <w:szCs w:val="28"/>
          <w:lang w:val="en-GB" w:eastAsia="en-US"/>
        </w:rPr>
        <w:t xml:space="preserve"> </w:t>
      </w:r>
      <w:r w:rsidRPr="00782AE3">
        <w:rPr>
          <w:rFonts w:eastAsia="Times New Roman"/>
          <w:b/>
          <w:spacing w:val="4"/>
          <w:w w:val="103"/>
          <w:kern w:val="14"/>
          <w:sz w:val="28"/>
          <w:szCs w:val="28"/>
          <w:lang w:val="en-GB" w:eastAsia="en-US"/>
        </w:rPr>
        <w:t>201</w:t>
      </w:r>
      <w:r w:rsidR="003B4D32">
        <w:rPr>
          <w:rFonts w:eastAsia="Times New Roman"/>
          <w:b/>
          <w:spacing w:val="4"/>
          <w:w w:val="103"/>
          <w:kern w:val="14"/>
          <w:sz w:val="28"/>
          <w:szCs w:val="28"/>
          <w:lang w:val="en-GB" w:eastAsia="en-US"/>
        </w:rPr>
        <w:t>9</w:t>
      </w: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words;</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recommendation;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in addition to description of action taken;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rsidR="002972FC" w:rsidRPr="002972FC" w:rsidRDefault="002972FC" w:rsidP="002972FC">
      <w:pPr>
        <w:pStyle w:val="ListParagraph"/>
        <w:rPr>
          <w:rFonts w:eastAsia="Times New Roman"/>
          <w:spacing w:val="4"/>
          <w:w w:val="103"/>
          <w:kern w:val="14"/>
          <w:lang w:val="en-GB" w:eastAsia="en-US"/>
        </w:rPr>
      </w:pPr>
    </w:p>
    <w:p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rPr>
          <w:trHeight w:val="567"/>
        </w:trPr>
        <w:tc>
          <w:tcPr>
            <w:tcW w:w="11016" w:type="dxa"/>
            <w:tcBorders>
              <w:bottom w:val="single" w:sz="4" w:space="0" w:color="auto"/>
            </w:tcBorders>
            <w:vAlign w:val="center"/>
          </w:tcPr>
          <w:p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Issue I</w:t>
            </w:r>
          </w:p>
        </w:tc>
      </w:tr>
      <w:tr w:rsidR="002972FC" w:rsidTr="00DB07F7">
        <w:trPr>
          <w:trHeight w:val="567"/>
        </w:trPr>
        <w:tc>
          <w:tcPr>
            <w:tcW w:w="11016" w:type="dxa"/>
            <w:tcBorders>
              <w:top w:val="single" w:sz="4" w:space="0" w:color="auto"/>
            </w:tcBorders>
            <w:vAlign w:val="center"/>
          </w:tcPr>
          <w:p w:rsidR="002972FC" w:rsidRPr="00F36455" w:rsidRDefault="003B4D32" w:rsidP="003B4D32">
            <w:pPr>
              <w:widowControl w:val="0"/>
              <w:suppressAutoHyphens/>
              <w:spacing w:line="240" w:lineRule="exact"/>
              <w:ind w:right="1019"/>
              <w:rPr>
                <w:rFonts w:eastAsia="Times New Roman"/>
                <w:b/>
                <w:spacing w:val="4"/>
                <w:w w:val="103"/>
                <w:kern w:val="14"/>
                <w:sz w:val="28"/>
                <w:szCs w:val="28"/>
                <w:lang w:val="en-GB" w:eastAsia="en-US"/>
              </w:rPr>
            </w:pPr>
            <w:r w:rsidRPr="003B4D32">
              <w:rPr>
                <w:rFonts w:eastAsia="Times New Roman"/>
                <w:b/>
                <w:spacing w:val="4"/>
                <w:w w:val="103"/>
                <w:kern w:val="14"/>
                <w:sz w:val="28"/>
                <w:szCs w:val="28"/>
                <w:lang w:val="en-GB" w:eastAsia="en-US"/>
              </w:rPr>
              <w:t xml:space="preserve">Proactive, intelligence-led approach and capacity-building </w:t>
            </w:r>
            <w:proofErr w:type="gramStart"/>
            <w:r w:rsidRPr="003B4D32">
              <w:rPr>
                <w:rFonts w:eastAsia="Times New Roman"/>
                <w:b/>
                <w:spacing w:val="4"/>
                <w:w w:val="103"/>
                <w:kern w:val="14"/>
                <w:sz w:val="28"/>
                <w:szCs w:val="28"/>
                <w:lang w:val="en-GB" w:eastAsia="en-US"/>
              </w:rPr>
              <w:t>in the area of</w:t>
            </w:r>
            <w:proofErr w:type="gramEnd"/>
            <w:r w:rsidRPr="003B4D32">
              <w:rPr>
                <w:rFonts w:eastAsia="Times New Roman"/>
                <w:b/>
                <w:spacing w:val="4"/>
                <w:w w:val="103"/>
                <w:kern w:val="14"/>
                <w:sz w:val="28"/>
                <w:szCs w:val="28"/>
                <w:lang w:val="en-GB" w:eastAsia="en-US"/>
              </w:rPr>
              <w:t xml:space="preserve"> criminal intelligence collection, collation, analysis and sharing</w:t>
            </w:r>
          </w:p>
        </w:tc>
      </w:tr>
      <w:tr w:rsidR="002972FC" w:rsidTr="00DB07F7">
        <w:trPr>
          <w:trHeight w:val="567"/>
        </w:trPr>
        <w:tc>
          <w:tcPr>
            <w:tcW w:w="11016" w:type="dxa"/>
            <w:vAlign w:val="center"/>
          </w:tcPr>
          <w:p w:rsidR="002972FC" w:rsidRPr="00F36455" w:rsidRDefault="002972FC" w:rsidP="00DB07F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p>
        </w:tc>
      </w:tr>
    </w:tbl>
    <w:p w:rsidR="00955E9A" w:rsidRPr="00DB07F7" w:rsidRDefault="003B4D32" w:rsidP="000D7F55">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rsidRPr="008F0B07">
        <w:t>Governments should support and ensure better coordination and cooperation at the national level between law enforcement and other relevant agencies to facilitate the exchange of criminal intelligence and its proactive usage</w:t>
      </w:r>
      <w:r w:rsid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c>
          <w:tcPr>
            <w:tcW w:w="11016" w:type="dxa"/>
          </w:tcPr>
          <w:p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rsidR="002972FC"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Pr>
                <w:rFonts w:eastAsia="Times New Roman"/>
                <w:spacing w:val="4"/>
                <w:w w:val="103"/>
                <w:kern w:val="14"/>
                <w:lang w:val="en-GB" w:eastAsia="en-US"/>
              </w:rPr>
              <w:t xml:space="preserve"> </w:t>
            </w:r>
            <w:r>
              <w:rPr>
                <w:rFonts w:eastAsia="Times New Roman"/>
                <w:spacing w:val="4"/>
                <w:w w:val="103"/>
                <w:kern w:val="14"/>
                <w:lang w:val="en-GB" w:eastAsia="en-US"/>
              </w:rPr>
              <w:t xml:space="preserve">YES </w:t>
            </w:r>
            <w:r>
              <w:rPr>
                <w:rFonts w:eastAsia="Times New Roman"/>
                <w:spacing w:val="4"/>
                <w:w w:val="103"/>
                <w:kern w:val="14"/>
                <w:lang w:val="en-GB" w:eastAsia="en-US"/>
              </w:rPr>
              <w:fldChar w:fldCharType="begin">
                <w:ffData>
                  <w:name w:val="Check4"/>
                  <w:enabled/>
                  <w:calcOnExit w:val="0"/>
                  <w:checkBox>
                    <w:sizeAuto/>
                    <w:default w:val="0"/>
                  </w:checkBox>
                </w:ffData>
              </w:fldChar>
            </w:r>
            <w:bookmarkStart w:id="10" w:name="Check4"/>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bookmarkEnd w:id="10"/>
            <w:r>
              <w:rPr>
                <w:rFonts w:eastAsia="Times New Roman"/>
                <w:spacing w:val="4"/>
                <w:w w:val="103"/>
                <w:kern w:val="14"/>
                <w:lang w:val="en-GB" w:eastAsia="en-US"/>
              </w:rPr>
              <w:t xml:space="preserve"> NO</w:t>
            </w:r>
          </w:p>
        </w:tc>
      </w:tr>
      <w:tr w:rsidR="002972FC" w:rsidTr="00DB07F7">
        <w:tc>
          <w:tcPr>
            <w:tcW w:w="11016" w:type="dxa"/>
          </w:tcPr>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rsidR="000D7F55" w:rsidRPr="001A4CE4" w:rsidRDefault="003B4D32"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ensure that training institutions have relevant training curricula and tools, as well as specialized equipment and software for the training of criminal intelligence analysts</w:t>
      </w:r>
      <w:r w:rsidR="000D7F55" w:rsidRPr="001A4CE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bookmarkStart w:id="13" w:name="_Hlk4661113"/>
            <w:r w:rsidRPr="00F36455">
              <w:rPr>
                <w:rFonts w:eastAsia="Times New Roman"/>
                <w:b/>
                <w:spacing w:val="4"/>
                <w:w w:val="103"/>
                <w:kern w:val="14"/>
                <w:lang w:val="en-GB" w:eastAsia="en-US"/>
              </w:rPr>
              <w:t>Recommendation 3</w:t>
            </w:r>
          </w:p>
        </w:tc>
      </w:tr>
    </w:tbl>
    <w:bookmarkEnd w:id="13"/>
    <w:p w:rsidR="000D7F55" w:rsidRPr="000D7F55" w:rsidRDefault="003B4D32"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encourage more active and systemic use of existing regional and international law enforcement structures for the sharing of criminal intelligence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54D5" w:rsidRDefault="001C54D5" w:rsidP="001C54D5">
      <w:pPr>
        <w:rPr>
          <w:b/>
          <w:lang w:val="en-GB"/>
        </w:rPr>
      </w:pPr>
    </w:p>
    <w:p w:rsidR="003B4D32" w:rsidRPr="00BD0DE6" w:rsidRDefault="003B4D32" w:rsidP="001C54D5">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B4D32" w:rsidTr="00E52342">
        <w:trPr>
          <w:trHeight w:val="567"/>
        </w:trPr>
        <w:tc>
          <w:tcPr>
            <w:tcW w:w="11016" w:type="dxa"/>
            <w:vAlign w:val="center"/>
          </w:tcPr>
          <w:p w:rsidR="003B4D32" w:rsidRPr="00F36455" w:rsidRDefault="003B4D32"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4</w:t>
            </w:r>
          </w:p>
        </w:tc>
      </w:tr>
    </w:tbl>
    <w:p w:rsidR="003B4D32" w:rsidRPr="000D7F55" w:rsidRDefault="003B4D32" w:rsidP="003B4D32">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be requested to consider appropriate policies to ensure retaining trained analysts within national organizations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B4D32" w:rsidTr="00E52342">
        <w:tc>
          <w:tcPr>
            <w:tcW w:w="11016" w:type="dxa"/>
          </w:tcPr>
          <w:p w:rsidR="003B4D32" w:rsidRDefault="003B4D32" w:rsidP="00E52342">
            <w:pPr>
              <w:widowControl w:val="0"/>
              <w:suppressAutoHyphens/>
              <w:spacing w:line="240" w:lineRule="exact"/>
              <w:ind w:right="1019"/>
              <w:jc w:val="both"/>
              <w:rPr>
                <w:rFonts w:eastAsia="Times New Roman"/>
                <w:spacing w:val="4"/>
                <w:w w:val="103"/>
                <w:kern w:val="14"/>
                <w:lang w:val="en-GB" w:eastAsia="en-US"/>
              </w:rPr>
            </w:pPr>
          </w:p>
          <w:p w:rsidR="003B4D32" w:rsidRDefault="003B4D32"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3B4D32" w:rsidTr="00E52342">
        <w:tc>
          <w:tcPr>
            <w:tcW w:w="11016" w:type="dxa"/>
          </w:tcPr>
          <w:p w:rsidR="003B4D32" w:rsidRDefault="003B4D32" w:rsidP="00E52342">
            <w:pPr>
              <w:widowControl w:val="0"/>
              <w:suppressAutoHyphens/>
              <w:spacing w:line="240" w:lineRule="exact"/>
              <w:ind w:right="1019"/>
              <w:jc w:val="both"/>
              <w:rPr>
                <w:rFonts w:eastAsia="Times New Roman"/>
                <w:spacing w:val="4"/>
                <w:w w:val="103"/>
                <w:kern w:val="14"/>
                <w:lang w:val="en-GB" w:eastAsia="en-US"/>
              </w:rPr>
            </w:pPr>
          </w:p>
        </w:tc>
      </w:tr>
      <w:tr w:rsidR="003B4D32" w:rsidTr="00E52342">
        <w:tc>
          <w:tcPr>
            <w:tcW w:w="11016" w:type="dxa"/>
          </w:tcPr>
          <w:p w:rsidR="003B4D32" w:rsidRDefault="003B4D32"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3B4D32" w:rsidRDefault="003B4D32" w:rsidP="003B4D32">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3B4D32" w:rsidRDefault="003B4D32" w:rsidP="001C54D5">
      <w:pPr>
        <w:widowControl w:val="0"/>
        <w:suppressAutoHyphens/>
        <w:spacing w:line="240" w:lineRule="exact"/>
        <w:ind w:right="1019"/>
        <w:jc w:val="both"/>
        <w:rPr>
          <w:rFonts w:eastAsia="Times New Roman"/>
          <w:spacing w:val="4"/>
          <w:w w:val="103"/>
          <w:kern w:val="14"/>
          <w:lang w:val="en-GB" w:eastAsia="en-US"/>
        </w:rPr>
      </w:pPr>
    </w:p>
    <w:p w:rsidR="003B4D32" w:rsidRDefault="003B4D32" w:rsidP="001C54D5">
      <w:pPr>
        <w:widowControl w:val="0"/>
        <w:suppressAutoHyphens/>
        <w:spacing w:line="240" w:lineRule="exact"/>
        <w:ind w:right="1019"/>
        <w:jc w:val="both"/>
        <w:rPr>
          <w:rFonts w:eastAsia="Times New Roman"/>
          <w:spacing w:val="4"/>
          <w:w w:val="103"/>
          <w:kern w:val="14"/>
          <w:lang w:val="en-GB" w:eastAsia="en-US"/>
        </w:rPr>
      </w:pPr>
    </w:p>
    <w:p w:rsidR="003B4D32" w:rsidRDefault="003B4D32">
      <w:r>
        <w:br w:type="page"/>
      </w:r>
    </w:p>
    <w:p w:rsidR="00F36455" w:rsidRDefault="00F364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bottom w:val="single" w:sz="4" w:space="0" w:color="auto"/>
            </w:tcBorders>
            <w:vAlign w:val="center"/>
          </w:tcPr>
          <w:p w:rsidR="001C54D5" w:rsidRPr="00DB07F7" w:rsidRDefault="001C54D5" w:rsidP="001C54D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bl>
    <w:p w:rsidR="000D7F55" w:rsidRPr="000D7F55" w:rsidRDefault="003B4D32" w:rsidP="000D7F55">
      <w:pPr>
        <w:framePr w:w="10890" w:h="1291" w:hSpace="180" w:wrap="around" w:vAnchor="text" w:hAnchor="page" w:x="674" w:y="1281"/>
        <w:pBdr>
          <w:top w:val="single" w:sz="6" w:space="1" w:color="auto"/>
          <w:left w:val="single" w:sz="6" w:space="1" w:color="auto"/>
          <w:bottom w:val="single" w:sz="6" w:space="1" w:color="auto"/>
          <w:right w:val="single" w:sz="6" w:space="1" w:color="auto"/>
        </w:pBdr>
        <w:jc w:val="both"/>
        <w:rPr>
          <w:lang w:val="en-GB"/>
        </w:rPr>
      </w:pPr>
      <w:r w:rsidRPr="008F0B07">
        <w:t>Governments should encourage better cooperation between financial intelligence units, law enforcement agencies and all other relevant national agencies</w:t>
      </w:r>
      <w:r w:rsidR="000D7F55"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top w:val="single" w:sz="4" w:space="0" w:color="auto"/>
            </w:tcBorders>
            <w:vAlign w:val="center"/>
          </w:tcPr>
          <w:p w:rsidR="001C54D5" w:rsidRPr="001C54D5" w:rsidRDefault="003B4D32" w:rsidP="003B4D32">
            <w:pPr>
              <w:widowControl w:val="0"/>
              <w:suppressAutoHyphens/>
              <w:spacing w:line="240" w:lineRule="exact"/>
              <w:ind w:right="1019"/>
              <w:rPr>
                <w:rFonts w:eastAsia="Times New Roman"/>
                <w:b/>
                <w:spacing w:val="4"/>
                <w:w w:val="103"/>
                <w:kern w:val="14"/>
                <w:lang w:val="en-GB" w:eastAsia="en-US"/>
              </w:rPr>
            </w:pPr>
            <w:r w:rsidRPr="003B4D32">
              <w:rPr>
                <w:rFonts w:eastAsia="Times New Roman"/>
                <w:b/>
                <w:spacing w:val="4"/>
                <w:w w:val="103"/>
                <w:kern w:val="14"/>
                <w:sz w:val="28"/>
                <w:szCs w:val="28"/>
                <w:lang w:val="en-GB" w:eastAsia="en-US"/>
              </w:rPr>
              <w:t>Countering money-laundering, illicit financial flows and the use of the darknet and cryptocurrencies in relation to the drug trade</w:t>
            </w:r>
          </w:p>
        </w:tc>
      </w:tr>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B4D32">
              <w:rPr>
                <w:rFonts w:eastAsia="Times New Roman"/>
                <w:b/>
                <w:spacing w:val="4"/>
                <w:w w:val="103"/>
                <w:kern w:val="14"/>
                <w:lang w:val="en-GB" w:eastAsia="en-US"/>
              </w:rPr>
              <w:t>5</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rsidR="00F36455" w:rsidRPr="002972FC" w:rsidRDefault="00F3645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B4D32">
              <w:rPr>
                <w:rFonts w:eastAsia="Times New Roman"/>
                <w:b/>
                <w:spacing w:val="4"/>
                <w:w w:val="103"/>
                <w:kern w:val="14"/>
                <w:lang w:val="en-GB" w:eastAsia="en-US"/>
              </w:rPr>
              <w:t>6</w:t>
            </w:r>
          </w:p>
        </w:tc>
      </w:tr>
    </w:tbl>
    <w:p w:rsidR="000D7F55" w:rsidRPr="000D7F55" w:rsidRDefault="003B4D32"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be encouraging intelligence-based policing that is proactive rather than reactive. The gathering and subsequent analysis of financial intelligence are key aspects of this</w:t>
      </w:r>
      <w:r w:rsidR="000D7F55"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C54D5" w:rsidRDefault="001C54D5" w:rsidP="00C8710B">
      <w:pPr>
        <w:rPr>
          <w:b/>
          <w:lang w:val="en-GB"/>
        </w:rPr>
      </w:pPr>
    </w:p>
    <w:p w:rsidR="00955E9A" w:rsidRDefault="00955E9A"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0D7F5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B4D32">
              <w:rPr>
                <w:rFonts w:eastAsia="Times New Roman"/>
                <w:b/>
                <w:spacing w:val="4"/>
                <w:w w:val="103"/>
                <w:kern w:val="14"/>
                <w:lang w:val="en-GB" w:eastAsia="en-US"/>
              </w:rPr>
              <w:t>7</w:t>
            </w:r>
          </w:p>
        </w:tc>
      </w:tr>
    </w:tbl>
    <w:p w:rsidR="000D7F55" w:rsidRPr="001A4CE4" w:rsidRDefault="003B4D32"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introduce policies and procedures that facilitate better sharing of information between public institutions and private companies in the financial sector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55E9A" w:rsidRDefault="00955E9A" w:rsidP="00955E9A">
      <w:pPr>
        <w:rPr>
          <w:b/>
          <w:lang w:val="en-GB"/>
        </w:rPr>
      </w:pPr>
    </w:p>
    <w:p w:rsidR="003B4D32" w:rsidRDefault="003B4D32" w:rsidP="00955E9A">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B4D32" w:rsidTr="00E52342">
        <w:trPr>
          <w:trHeight w:val="567"/>
        </w:trPr>
        <w:tc>
          <w:tcPr>
            <w:tcW w:w="11016" w:type="dxa"/>
            <w:vAlign w:val="center"/>
          </w:tcPr>
          <w:p w:rsidR="003B4D32" w:rsidRPr="00F36455" w:rsidRDefault="003B4D32"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C03B7B">
              <w:rPr>
                <w:rFonts w:eastAsia="Times New Roman"/>
                <w:b/>
                <w:spacing w:val="4"/>
                <w:w w:val="103"/>
                <w:kern w:val="14"/>
                <w:lang w:val="en-GB" w:eastAsia="en-US"/>
              </w:rPr>
              <w:t>8</w:t>
            </w:r>
          </w:p>
        </w:tc>
      </w:tr>
    </w:tbl>
    <w:p w:rsidR="003B4D32" w:rsidRPr="001A4CE4" w:rsidRDefault="003B4D32" w:rsidP="003B4D32">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be encouraged to share case studies and research outcomes on the economic aspect of money-laundering and drug trafficking with each other, including on how the proceeds of illicit activities are transferred and used and on the role of new technologies in money-laundering.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B4D32" w:rsidTr="00E52342">
        <w:tc>
          <w:tcPr>
            <w:tcW w:w="11016" w:type="dxa"/>
          </w:tcPr>
          <w:p w:rsidR="003B4D32" w:rsidRDefault="003B4D32" w:rsidP="00E52342">
            <w:pPr>
              <w:widowControl w:val="0"/>
              <w:suppressAutoHyphens/>
              <w:spacing w:line="240" w:lineRule="exact"/>
              <w:ind w:right="1019"/>
              <w:jc w:val="both"/>
              <w:rPr>
                <w:rFonts w:eastAsia="Times New Roman"/>
                <w:spacing w:val="4"/>
                <w:w w:val="103"/>
                <w:kern w:val="14"/>
                <w:lang w:val="en-GB" w:eastAsia="en-US"/>
              </w:rPr>
            </w:pPr>
          </w:p>
          <w:p w:rsidR="003B4D32" w:rsidRDefault="003B4D32"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3B4D32" w:rsidTr="00E52342">
        <w:tc>
          <w:tcPr>
            <w:tcW w:w="11016" w:type="dxa"/>
          </w:tcPr>
          <w:p w:rsidR="003B4D32" w:rsidRDefault="003B4D32" w:rsidP="00E52342">
            <w:pPr>
              <w:widowControl w:val="0"/>
              <w:suppressAutoHyphens/>
              <w:spacing w:line="240" w:lineRule="exact"/>
              <w:ind w:right="1019"/>
              <w:jc w:val="both"/>
              <w:rPr>
                <w:rFonts w:eastAsia="Times New Roman"/>
                <w:spacing w:val="4"/>
                <w:w w:val="103"/>
                <w:kern w:val="14"/>
                <w:lang w:val="en-GB" w:eastAsia="en-US"/>
              </w:rPr>
            </w:pPr>
          </w:p>
        </w:tc>
      </w:tr>
      <w:tr w:rsidR="003B4D32" w:rsidTr="00E52342">
        <w:tc>
          <w:tcPr>
            <w:tcW w:w="11016" w:type="dxa"/>
          </w:tcPr>
          <w:p w:rsidR="003B4D32" w:rsidRDefault="003B4D32"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3B4D32" w:rsidRDefault="003B4D32" w:rsidP="003B4D32">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4D32" w:rsidRDefault="003B4D32" w:rsidP="00955E9A">
      <w:pPr>
        <w:rPr>
          <w:b/>
          <w:lang w:val="en-GB"/>
        </w:rPr>
      </w:pPr>
    </w:p>
    <w:p w:rsidR="003B4D32" w:rsidRPr="00BD0DE6" w:rsidRDefault="003B4D32" w:rsidP="00955E9A">
      <w:pPr>
        <w:rPr>
          <w:b/>
          <w:lang w:val="en-GB"/>
        </w:rPr>
      </w:pPr>
    </w:p>
    <w:p w:rsidR="00955E9A" w:rsidRDefault="00955E9A">
      <w:pPr>
        <w:rPr>
          <w:b/>
          <w:lang w:val="en-GB"/>
        </w:rPr>
      </w:pPr>
      <w:r>
        <w:rPr>
          <w:b/>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tcBorders>
              <w:bottom w:val="single" w:sz="4" w:space="0" w:color="auto"/>
            </w:tcBorders>
            <w:vAlign w:val="center"/>
          </w:tcPr>
          <w:p w:rsidR="00955E9A" w:rsidRPr="00DB07F7" w:rsidRDefault="00955E9A" w:rsidP="00955E9A">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rsidTr="00955E9A">
        <w:trPr>
          <w:trHeight w:val="567"/>
        </w:trPr>
        <w:tc>
          <w:tcPr>
            <w:tcW w:w="11016" w:type="dxa"/>
            <w:tcBorders>
              <w:top w:val="single" w:sz="4" w:space="0" w:color="auto"/>
            </w:tcBorders>
            <w:vAlign w:val="center"/>
          </w:tcPr>
          <w:p w:rsidR="003D6707" w:rsidRPr="003D6707" w:rsidRDefault="00C03B7B" w:rsidP="00C03B7B">
            <w:pPr>
              <w:widowControl w:val="0"/>
              <w:suppressAutoHyphens/>
              <w:spacing w:line="240" w:lineRule="exact"/>
              <w:ind w:right="1019"/>
              <w:rPr>
                <w:rFonts w:eastAsia="Times New Roman"/>
                <w:b/>
                <w:spacing w:val="4"/>
                <w:w w:val="103"/>
                <w:kern w:val="14"/>
                <w:sz w:val="28"/>
                <w:szCs w:val="28"/>
                <w:lang w:val="en-GB" w:eastAsia="en-US"/>
              </w:rPr>
            </w:pPr>
            <w:r w:rsidRPr="00C03B7B">
              <w:rPr>
                <w:rFonts w:eastAsia="Times New Roman"/>
                <w:b/>
                <w:spacing w:val="4"/>
                <w:w w:val="103"/>
                <w:kern w:val="14"/>
                <w:sz w:val="28"/>
                <w:szCs w:val="28"/>
                <w:lang w:val="en-GB" w:eastAsia="en-US"/>
              </w:rPr>
              <w:t>Effective border control</w:t>
            </w:r>
          </w:p>
        </w:tc>
      </w:tr>
    </w:tbl>
    <w:p w:rsidR="000D7F55" w:rsidRPr="000D7F55" w:rsidRDefault="00C03B7B" w:rsidP="000D7F55">
      <w:pPr>
        <w:framePr w:w="10890" w:h="1003" w:hSpace="180" w:wrap="around" w:vAnchor="text" w:hAnchor="page" w:x="658" w:y="596"/>
        <w:pBdr>
          <w:top w:val="single" w:sz="6" w:space="1" w:color="auto"/>
          <w:left w:val="single" w:sz="6" w:space="1" w:color="auto"/>
          <w:bottom w:val="single" w:sz="6" w:space="1" w:color="auto"/>
          <w:right w:val="single" w:sz="6" w:space="1" w:color="auto"/>
        </w:pBdr>
        <w:jc w:val="both"/>
        <w:rPr>
          <w:lang w:val="en-GB"/>
        </w:rPr>
      </w:pPr>
      <w:r w:rsidRPr="008F0B07">
        <w:t>Governments should consider strengthening inter-agency cooperation to leverage access to information, know-how, mandates and operational capacities</w:t>
      </w:r>
      <w:r w:rsidR="000D7F55"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bookmarkStart w:id="18" w:name="_Hlk4661526"/>
            <w:r w:rsidRPr="00F36455">
              <w:rPr>
                <w:rFonts w:eastAsia="Times New Roman"/>
                <w:b/>
                <w:spacing w:val="4"/>
                <w:w w:val="103"/>
                <w:kern w:val="14"/>
                <w:lang w:val="en-GB" w:eastAsia="en-US"/>
              </w:rPr>
              <w:t xml:space="preserve">Recommendation </w:t>
            </w:r>
            <w:r w:rsidR="00C03B7B">
              <w:rPr>
                <w:rFonts w:eastAsia="Times New Roman"/>
                <w:b/>
                <w:spacing w:val="4"/>
                <w:w w:val="103"/>
                <w:kern w:val="14"/>
                <w:lang w:val="en-GB" w:eastAsia="en-US"/>
              </w:rPr>
              <w:t>9</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bookmarkEnd w:id="18"/>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C03B7B">
              <w:rPr>
                <w:rFonts w:eastAsia="Times New Roman"/>
                <w:b/>
                <w:spacing w:val="4"/>
                <w:w w:val="103"/>
                <w:kern w:val="14"/>
                <w:lang w:val="en-GB" w:eastAsia="en-US"/>
              </w:rPr>
              <w:t>10</w:t>
            </w:r>
          </w:p>
        </w:tc>
      </w:tr>
    </w:tbl>
    <w:p w:rsidR="00955E9A" w:rsidRPr="00DB07F7" w:rsidRDefault="00C03B7B" w:rsidP="00720600">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 xml:space="preserve">The capacities of existing law enforcement cooperation structures and </w:t>
      </w:r>
      <w:proofErr w:type="spellStart"/>
      <w:r w:rsidRPr="008F0B07">
        <w:t>centres</w:t>
      </w:r>
      <w:proofErr w:type="spellEnd"/>
      <w:r w:rsidRPr="008F0B07">
        <w:t>, for example, in the areas of exchange of criminal intelligence and coordination of multilateral operations, should be used to the maximum extent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55E9A" w:rsidRPr="00BD0DE6" w:rsidRDefault="00955E9A" w:rsidP="00955E9A">
      <w:pPr>
        <w:rPr>
          <w:b/>
          <w:lang w:val="en-GB"/>
        </w:rPr>
      </w:pPr>
    </w:p>
    <w:p w:rsidR="00F36455" w:rsidRDefault="00F364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C03B7B">
              <w:rPr>
                <w:rFonts w:eastAsia="Times New Roman"/>
                <w:b/>
                <w:spacing w:val="4"/>
                <w:w w:val="103"/>
                <w:kern w:val="14"/>
                <w:lang w:val="en-GB" w:eastAsia="en-US"/>
              </w:rPr>
              <w:t>11</w:t>
            </w:r>
          </w:p>
        </w:tc>
      </w:tr>
    </w:tbl>
    <w:p w:rsidR="00955E9A" w:rsidRPr="00DB07F7" w:rsidRDefault="00C03B7B" w:rsidP="00720600">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consider building on ongoing efforts to strengthen bilateral and regional cooperation, for example through border liaison offices, the Joint Planning Cell, the Central Asian Regional Information and Coordination Centre for Combating Illicit Trafficking in Narcotic Drugs, Psychotropic Substances and their Precursors (CARICC), the Criminal Information Centre to Combat Drugs of the Gulf Cooperation Council,</w:t>
      </w:r>
      <w:r w:rsidRPr="008F0B07" w:rsidDel="00DC22C3">
        <w:t xml:space="preserve"> </w:t>
      </w:r>
      <w:r w:rsidRPr="008F0B07">
        <w:t xml:space="preserve">the Arab Interior Ministers Council, the Container Control Programme, the Global Maritime Crime Project, the Airport Communication Project (AIRCOP) and other ongoing </w:t>
      </w:r>
      <w:proofErr w:type="spellStart"/>
      <w:r w:rsidRPr="008F0B07">
        <w:t>programmes</w:t>
      </w:r>
      <w:proofErr w:type="spellEnd"/>
      <w:r w:rsidRPr="008F0B07">
        <w:t xml:space="preserve"> and initiatives of the United Nations Office on Drugs and Crime (UNODC), as well as initiatives and capacities of other regional and international organizations, including the I-24/7 global police communication system of the International Criminal Police Organization (INTERPOL) and the Customs Enforcement Network Communication Platform system of the World Customs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4002FA" w:rsidRDefault="004002FA"/>
    <w:p w:rsidR="00927708" w:rsidRDefault="009277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27708" w:rsidTr="00E52342">
        <w:trPr>
          <w:trHeight w:val="567"/>
        </w:trPr>
        <w:tc>
          <w:tcPr>
            <w:tcW w:w="11016" w:type="dxa"/>
            <w:vAlign w:val="center"/>
          </w:tcPr>
          <w:p w:rsidR="00927708" w:rsidRPr="00F36455" w:rsidRDefault="00927708" w:rsidP="00E52342">
            <w:pPr>
              <w:widowControl w:val="0"/>
              <w:suppressAutoHyphens/>
              <w:spacing w:line="240" w:lineRule="exact"/>
              <w:ind w:right="1019"/>
              <w:rPr>
                <w:rFonts w:eastAsia="Times New Roman"/>
                <w:b/>
                <w:spacing w:val="4"/>
                <w:w w:val="103"/>
                <w:kern w:val="14"/>
                <w:lang w:val="en-GB" w:eastAsia="en-US"/>
              </w:rPr>
            </w:pPr>
            <w:bookmarkStart w:id="22" w:name="_Hlk4661585"/>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12</w:t>
            </w:r>
          </w:p>
        </w:tc>
      </w:tr>
    </w:tbl>
    <w:bookmarkEnd w:id="22"/>
    <w:p w:rsidR="00927708" w:rsidRPr="00DB07F7" w:rsidRDefault="00927708" w:rsidP="00927708">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as well as international and regional organizations, should consider providing increased support, including technical assistance, equipment and training and by sharing information, to the “front-line” countries, namely those situated close to areas where drugs are cultivated and produced.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27708" w:rsidTr="00E52342">
        <w:tc>
          <w:tcPr>
            <w:tcW w:w="11016" w:type="dxa"/>
          </w:tcPr>
          <w:p w:rsidR="00927708" w:rsidRDefault="00927708" w:rsidP="00E52342">
            <w:pPr>
              <w:widowControl w:val="0"/>
              <w:suppressAutoHyphens/>
              <w:spacing w:line="240" w:lineRule="exact"/>
              <w:ind w:right="1019"/>
              <w:jc w:val="both"/>
              <w:rPr>
                <w:rFonts w:eastAsia="Times New Roman"/>
                <w:spacing w:val="4"/>
                <w:w w:val="103"/>
                <w:kern w:val="14"/>
                <w:lang w:val="en-GB" w:eastAsia="en-US"/>
              </w:rPr>
            </w:pPr>
          </w:p>
          <w:p w:rsidR="00927708" w:rsidRDefault="00927708"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27708" w:rsidTr="00E52342">
        <w:tc>
          <w:tcPr>
            <w:tcW w:w="11016" w:type="dxa"/>
          </w:tcPr>
          <w:p w:rsidR="00927708" w:rsidRDefault="00927708" w:rsidP="00E52342">
            <w:pPr>
              <w:widowControl w:val="0"/>
              <w:suppressAutoHyphens/>
              <w:spacing w:line="240" w:lineRule="exact"/>
              <w:ind w:right="1019"/>
              <w:jc w:val="both"/>
              <w:rPr>
                <w:rFonts w:eastAsia="Times New Roman"/>
                <w:spacing w:val="4"/>
                <w:w w:val="103"/>
                <w:kern w:val="14"/>
                <w:lang w:val="en-GB" w:eastAsia="en-US"/>
              </w:rPr>
            </w:pPr>
          </w:p>
        </w:tc>
      </w:tr>
      <w:tr w:rsidR="00927708" w:rsidTr="00E52342">
        <w:tc>
          <w:tcPr>
            <w:tcW w:w="11016" w:type="dxa"/>
          </w:tcPr>
          <w:p w:rsidR="00927708" w:rsidRDefault="00927708"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27708" w:rsidRDefault="00927708" w:rsidP="00927708">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7708" w:rsidRDefault="0092770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rPr>
          <w:trHeight w:val="567"/>
        </w:trPr>
        <w:tc>
          <w:tcPr>
            <w:tcW w:w="11016" w:type="dxa"/>
            <w:tcBorders>
              <w:bottom w:val="single" w:sz="4" w:space="0" w:color="auto"/>
            </w:tcBorders>
            <w:vAlign w:val="center"/>
          </w:tcPr>
          <w:p w:rsidR="00E428C3" w:rsidRPr="00DB07F7" w:rsidRDefault="00E428C3" w:rsidP="00E52342">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IV</w:t>
            </w:r>
          </w:p>
        </w:tc>
      </w:tr>
      <w:tr w:rsidR="00E428C3" w:rsidTr="00E52342">
        <w:trPr>
          <w:trHeight w:val="567"/>
        </w:trPr>
        <w:tc>
          <w:tcPr>
            <w:tcW w:w="11016" w:type="dxa"/>
            <w:tcBorders>
              <w:top w:val="single" w:sz="4" w:space="0" w:color="auto"/>
            </w:tcBorders>
            <w:vAlign w:val="center"/>
          </w:tcPr>
          <w:p w:rsidR="00E428C3" w:rsidRPr="003D6707" w:rsidRDefault="00E428C3" w:rsidP="00E428C3">
            <w:pPr>
              <w:widowControl w:val="0"/>
              <w:suppressAutoHyphens/>
              <w:spacing w:line="240" w:lineRule="exact"/>
              <w:ind w:right="1019"/>
              <w:rPr>
                <w:rFonts w:eastAsia="Times New Roman"/>
                <w:b/>
                <w:spacing w:val="4"/>
                <w:w w:val="103"/>
                <w:kern w:val="14"/>
                <w:sz w:val="28"/>
                <w:szCs w:val="28"/>
                <w:lang w:val="en-GB" w:eastAsia="en-US"/>
              </w:rPr>
            </w:pPr>
            <w:r w:rsidRPr="00E428C3">
              <w:rPr>
                <w:rFonts w:eastAsia="Times New Roman"/>
                <w:b/>
                <w:spacing w:val="4"/>
                <w:w w:val="103"/>
                <w:kern w:val="14"/>
                <w:sz w:val="28"/>
                <w:szCs w:val="28"/>
                <w:lang w:val="en-GB" w:eastAsia="en-US"/>
              </w:rPr>
              <w:t>Prevention of drug use, focusing on children, youth, families and the education system</w:t>
            </w:r>
          </w:p>
        </w:tc>
      </w:tr>
      <w:tr w:rsidR="00D5622C" w:rsidTr="00E52342">
        <w:trPr>
          <w:trHeight w:val="567"/>
        </w:trPr>
        <w:tc>
          <w:tcPr>
            <w:tcW w:w="11016" w:type="dxa"/>
            <w:vAlign w:val="center"/>
          </w:tcPr>
          <w:p w:rsidR="00D5622C" w:rsidRPr="00F36455" w:rsidRDefault="00D5622C"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13</w:t>
            </w:r>
          </w:p>
        </w:tc>
      </w:tr>
    </w:tbl>
    <w:p w:rsidR="00E428C3" w:rsidRPr="00DB07F7"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be encouraged to adopt a health-</w:t>
      </w:r>
      <w:proofErr w:type="spellStart"/>
      <w:r w:rsidRPr="008F0B07">
        <w:t>centred</w:t>
      </w:r>
      <w:proofErr w:type="spellEnd"/>
      <w:r w:rsidRPr="008F0B07">
        <w:t xml:space="preserve"> approach that is balanced and comprehensive when it comes to drug control</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p w:rsidR="00E428C3" w:rsidRDefault="00E428C3"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7708" w:rsidRDefault="00927708"/>
    <w:p w:rsidR="00E428C3" w:rsidRDefault="00E4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rPr>
          <w:trHeight w:val="567"/>
        </w:trPr>
        <w:tc>
          <w:tcPr>
            <w:tcW w:w="11016" w:type="dxa"/>
            <w:vAlign w:val="center"/>
          </w:tcPr>
          <w:p w:rsidR="00E428C3" w:rsidRPr="00F36455" w:rsidRDefault="00E428C3"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14</w:t>
            </w:r>
          </w:p>
        </w:tc>
      </w:tr>
    </w:tbl>
    <w:p w:rsidR="00E428C3" w:rsidRPr="00DB07F7"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 xml:space="preserve">Governments should be encouraged to use the </w:t>
      </w:r>
      <w:r w:rsidRPr="008F0B07">
        <w:rPr>
          <w:i/>
          <w:iCs/>
        </w:rPr>
        <w:t>International Standards on Drug Use Prevention</w:t>
      </w:r>
      <w:r w:rsidRPr="008F0B07">
        <w:t xml:space="preserve"> as a framework to critically review national prevention strategies in line with the outcome document of the thirtieth special session of the General Assembly and target 3.5 of the Sustainable Development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p w:rsidR="00E428C3" w:rsidRDefault="00E428C3"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8C3" w:rsidRDefault="00E428C3"/>
    <w:p w:rsidR="00E428C3" w:rsidRDefault="00E428C3">
      <w:r>
        <w:br w:type="page"/>
      </w:r>
    </w:p>
    <w:p w:rsidR="00E428C3" w:rsidRDefault="00E4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rPr>
          <w:trHeight w:val="567"/>
        </w:trPr>
        <w:tc>
          <w:tcPr>
            <w:tcW w:w="11016" w:type="dxa"/>
            <w:vAlign w:val="center"/>
          </w:tcPr>
          <w:p w:rsidR="00E428C3" w:rsidRPr="00F36455" w:rsidRDefault="00E428C3"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15</w:t>
            </w:r>
          </w:p>
        </w:tc>
      </w:tr>
    </w:tbl>
    <w:p w:rsidR="00E428C3" w:rsidRPr="00DB07F7"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 xml:space="preserve">Governments should be encouraged to adopt a science-based approach in their drug prevention </w:t>
      </w:r>
      <w:proofErr w:type="spellStart"/>
      <w:r w:rsidRPr="008F0B07">
        <w:t>programmes</w:t>
      </w:r>
      <w:proofErr w:type="spellEnd"/>
      <w:r w:rsidRPr="008F0B07">
        <w:t xml:space="preserve"> for youth and to document the effectiveness and cost-effectiveness of those national </w:t>
      </w:r>
      <w:proofErr w:type="spellStart"/>
      <w:r w:rsidRPr="008F0B07">
        <w:t>programmes</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p w:rsidR="00E428C3" w:rsidRDefault="00E428C3"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8C3" w:rsidRDefault="00E428C3"/>
    <w:p w:rsidR="00E428C3" w:rsidRDefault="00E4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rPr>
          <w:trHeight w:val="567"/>
        </w:trPr>
        <w:tc>
          <w:tcPr>
            <w:tcW w:w="11016" w:type="dxa"/>
            <w:vAlign w:val="center"/>
          </w:tcPr>
          <w:p w:rsidR="00E428C3" w:rsidRPr="00F36455" w:rsidRDefault="00E428C3"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16</w:t>
            </w:r>
          </w:p>
        </w:tc>
      </w:tr>
    </w:tbl>
    <w:p w:rsidR="00E428C3" w:rsidRPr="00DB07F7"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consider enhancing the knowledge and capacity of teachers and other relevant professionals in prevention, especially in relation to</w:t>
      </w:r>
      <w:r>
        <w:t xml:space="preserve"> </w:t>
      </w:r>
      <w:r w:rsidRPr="008F0B07">
        <w:t>high-risk populations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p w:rsidR="00E428C3" w:rsidRDefault="00E428C3"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8C3" w:rsidRDefault="00E428C3"/>
    <w:p w:rsidR="00D5622C" w:rsidRDefault="00D5622C">
      <w:r>
        <w:br w:type="page"/>
      </w:r>
    </w:p>
    <w:p w:rsidR="00E428C3" w:rsidRDefault="00E4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rPr>
          <w:trHeight w:val="567"/>
        </w:trPr>
        <w:tc>
          <w:tcPr>
            <w:tcW w:w="11016" w:type="dxa"/>
            <w:vAlign w:val="center"/>
          </w:tcPr>
          <w:p w:rsidR="00E428C3" w:rsidRPr="00F36455" w:rsidRDefault="00E428C3" w:rsidP="00E5234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17</w:t>
            </w:r>
          </w:p>
        </w:tc>
      </w:tr>
    </w:tbl>
    <w:p w:rsidR="00E428C3" w:rsidRPr="00DB07F7"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F0B07">
        <w:t>Governments should be encouraged to enhance cooperation among the education, law enforcement and public health sectors and other relevant stakeholders for more effective prevention and drug demand reduction efforts.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p w:rsidR="00E428C3" w:rsidRDefault="00E428C3" w:rsidP="00E5234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C62E8A">
              <w:rPr>
                <w:rFonts w:eastAsia="Times New Roman"/>
                <w:spacing w:val="4"/>
                <w:w w:val="103"/>
                <w:kern w:val="14"/>
                <w:lang w:val="en-GB" w:eastAsia="en-US"/>
              </w:rPr>
            </w:r>
            <w:r w:rsidR="00C62E8A">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p>
        </w:tc>
      </w:tr>
      <w:tr w:rsidR="00E428C3" w:rsidTr="00E52342">
        <w:tc>
          <w:tcPr>
            <w:tcW w:w="11016" w:type="dxa"/>
          </w:tcPr>
          <w:p w:rsidR="00E428C3" w:rsidRDefault="00E428C3" w:rsidP="00E52342">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8C3" w:rsidRDefault="00E428C3"/>
    <w:sectPr w:rsidR="00E428C3" w:rsidSect="009D1DF9">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25"/>
      <w:gridCol w:w="5846"/>
    </w:tblGrid>
    <w:tr w:rsidR="009D1DF9" w:rsidRPr="009D1DF9" w:rsidTr="009D1DF9">
      <w:tc>
        <w:tcPr>
          <w:tcW w:w="5125" w:type="dxa"/>
        </w:tcPr>
        <w:p w:rsidR="009D1DF9" w:rsidRPr="009D1DF9" w:rsidRDefault="009D1DF9" w:rsidP="009D1DF9">
          <w:pPr>
            <w:tabs>
              <w:tab w:val="center" w:pos="4320"/>
              <w:tab w:val="right" w:pos="8640"/>
            </w:tabs>
            <w:rPr>
              <w:noProof/>
              <w:sz w:val="20"/>
              <w:szCs w:val="20"/>
              <w:lang w:eastAsia="en-US"/>
            </w:rPr>
          </w:pPr>
        </w:p>
      </w:tc>
      <w:tc>
        <w:tcPr>
          <w:tcW w:w="5846" w:type="dxa"/>
          <w:vMerge w:val="restart"/>
        </w:tcPr>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jc w:val="right"/>
            <w:rPr>
              <w:b/>
              <w:noProof/>
              <w:sz w:val="17"/>
              <w:szCs w:val="20"/>
              <w:lang w:eastAsia="en-US"/>
            </w:rPr>
          </w:pPr>
          <w:r w:rsidRPr="009D1DF9">
            <w:rPr>
              <w:b/>
              <w:noProof/>
              <w:sz w:val="17"/>
              <w:szCs w:val="20"/>
              <w:lang w:val="en-GB" w:eastAsia="en-GB"/>
            </w:rPr>
            <w:drawing>
              <wp:inline distT="0" distB="0" distL="0" distR="0" wp14:anchorId="34628089" wp14:editId="41E9E5E1">
                <wp:extent cx="932400" cy="2340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2400" cy="234000"/>
                        </a:xfrm>
                        <a:prstGeom prst="rect">
                          <a:avLst/>
                        </a:prstGeom>
                      </pic:spPr>
                    </pic:pic>
                  </a:graphicData>
                </a:graphic>
              </wp:inline>
            </w:drawing>
          </w:r>
        </w:p>
      </w:tc>
    </w:tr>
    <w:tr w:rsidR="009D1DF9" w:rsidRPr="009D1DF9" w:rsidTr="009D1DF9">
      <w:tc>
        <w:tcPr>
          <w:tcW w:w="5125" w:type="dxa"/>
        </w:tcPr>
        <w:p w:rsidR="009D1DF9" w:rsidRPr="009D1DF9" w:rsidRDefault="009D1DF9" w:rsidP="009D1DF9">
          <w:pPr>
            <w:tabs>
              <w:tab w:val="center" w:pos="4320"/>
              <w:tab w:val="right" w:pos="8640"/>
            </w:tabs>
            <w:spacing w:before="120"/>
            <w:rPr>
              <w:rFonts w:ascii="Barcode 3 of 9 by request" w:hAnsi="Barcode 3 of 9 by request"/>
              <w:b/>
              <w:i/>
              <w:noProof/>
              <w:spacing w:val="4"/>
              <w:szCs w:val="20"/>
              <w:lang w:eastAsia="en-US"/>
            </w:rPr>
          </w:pPr>
        </w:p>
      </w:tc>
      <w:tc>
        <w:tcPr>
          <w:tcW w:w="5846" w:type="dxa"/>
          <w:vMerge/>
        </w:tcPr>
        <w:p w:rsidR="009D1DF9" w:rsidRPr="009D1DF9" w:rsidRDefault="009D1DF9" w:rsidP="009D1DF9">
          <w:pPr>
            <w:tabs>
              <w:tab w:val="center" w:pos="4320"/>
              <w:tab w:val="right" w:pos="8640"/>
            </w:tabs>
            <w:rPr>
              <w:b/>
              <w:noProof/>
              <w:sz w:val="17"/>
              <w:szCs w:val="20"/>
              <w:lang w:eastAsia="en-US"/>
            </w:rPr>
          </w:pPr>
        </w:p>
      </w:tc>
    </w:tr>
  </w:tbl>
  <w:p w:rsidR="00F36455" w:rsidRPr="00C6590F" w:rsidRDefault="00F36455" w:rsidP="00C6590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44288321"/>
      <w:docPartObj>
        <w:docPartGallery w:val="Page Numbers (Bottom of Page)"/>
        <w:docPartUnique/>
      </w:docPartObj>
    </w:sdtPr>
    <w:sdtEndPr>
      <w:rPr>
        <w:noProof/>
      </w:rPr>
    </w:sdtEndPr>
    <w:sdtContent>
      <w:p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B03D71">
          <w:rPr>
            <w:noProof/>
            <w:sz w:val="20"/>
            <w:szCs w:val="20"/>
          </w:rPr>
          <w:t>4</w:t>
        </w:r>
        <w:r w:rsidRPr="00C6590F">
          <w:rPr>
            <w:noProof/>
            <w:sz w:val="20"/>
            <w:szCs w:val="20"/>
          </w:rPr>
          <w:fldChar w:fldCharType="end"/>
        </w:r>
      </w:p>
    </w:sdtContent>
  </w:sdt>
  <w:p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C12"/>
    <w:rsid w:val="00066179"/>
    <w:rsid w:val="000D7F55"/>
    <w:rsid w:val="001C54D5"/>
    <w:rsid w:val="001E349E"/>
    <w:rsid w:val="00280D62"/>
    <w:rsid w:val="002972FC"/>
    <w:rsid w:val="003B4D32"/>
    <w:rsid w:val="003D6707"/>
    <w:rsid w:val="003E6972"/>
    <w:rsid w:val="003F7954"/>
    <w:rsid w:val="004002FA"/>
    <w:rsid w:val="0042042A"/>
    <w:rsid w:val="00436808"/>
    <w:rsid w:val="00485C82"/>
    <w:rsid w:val="004C4C56"/>
    <w:rsid w:val="00720600"/>
    <w:rsid w:val="00723925"/>
    <w:rsid w:val="00730028"/>
    <w:rsid w:val="00782AE3"/>
    <w:rsid w:val="007D0EE8"/>
    <w:rsid w:val="008249DA"/>
    <w:rsid w:val="008A744B"/>
    <w:rsid w:val="00927708"/>
    <w:rsid w:val="00955E9A"/>
    <w:rsid w:val="00997F3B"/>
    <w:rsid w:val="009D1DF9"/>
    <w:rsid w:val="00A37E80"/>
    <w:rsid w:val="00A73E41"/>
    <w:rsid w:val="00B03D71"/>
    <w:rsid w:val="00B2495A"/>
    <w:rsid w:val="00BB0354"/>
    <w:rsid w:val="00BD0DE6"/>
    <w:rsid w:val="00C03B7B"/>
    <w:rsid w:val="00C265D6"/>
    <w:rsid w:val="00C62E8A"/>
    <w:rsid w:val="00C6590F"/>
    <w:rsid w:val="00C8710B"/>
    <w:rsid w:val="00CC6B54"/>
    <w:rsid w:val="00D000E2"/>
    <w:rsid w:val="00D5622C"/>
    <w:rsid w:val="00D925F4"/>
    <w:rsid w:val="00DA2C12"/>
    <w:rsid w:val="00DB07F7"/>
    <w:rsid w:val="00E04B90"/>
    <w:rsid w:val="00E428C3"/>
    <w:rsid w:val="00E806FA"/>
    <w:rsid w:val="00F36455"/>
    <w:rsid w:val="00FD3F7E"/>
    <w:rsid w:val="00FD6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9A06B8"/>
  <w15:docId w15:val="{62D5D63B-EF8D-44EA-881F-AEDF6BC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8C3"/>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 w:type="character" w:styleId="UnresolvedMention">
    <w:name w:val="Unresolved Mention"/>
    <w:basedOn w:val="DefaultParagraphFont"/>
    <w:uiPriority w:val="99"/>
    <w:semiHidden/>
    <w:unhideWhenUsed/>
    <w:rsid w:val="003B4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imone.rupprich@un.org" TargetMode="External"/><Relationship Id="rId4" Type="http://schemas.openxmlformats.org/officeDocument/2006/relationships/settings" Target="settings.xml"/><Relationship Id="rId9" Type="http://schemas.openxmlformats.org/officeDocument/2006/relationships/hyperlink" Target="mailto:unodc-sgb@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565B-63F4-41BA-9C81-C4118CB2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Simone Rupprich</cp:lastModifiedBy>
  <cp:revision>2</cp:revision>
  <cp:lastPrinted>2017-04-19T09:29:00Z</cp:lastPrinted>
  <dcterms:created xsi:type="dcterms:W3CDTF">2019-03-28T12:17:00Z</dcterms:created>
  <dcterms:modified xsi:type="dcterms:W3CDTF">2019-03-28T12:17:00Z</dcterms:modified>
</cp:coreProperties>
</file>