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F9" w:rsidRPr="00E24738" w:rsidRDefault="009D1DF9" w:rsidP="009D1DF9">
      <w:pPr>
        <w:spacing w:line="20" w:lineRule="exact"/>
        <w:rPr>
          <w:lang w:val="ru-RU"/>
        </w:rPr>
        <w:sectPr w:rsidR="009D1DF9" w:rsidRPr="00E24738" w:rsidSect="00DA2C12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D7F55" w:rsidRPr="00C91E92" w:rsidRDefault="00FF4221" w:rsidP="00E24738">
      <w:pPr>
        <w:jc w:val="center"/>
        <w:rPr>
          <w:b/>
          <w:sz w:val="28"/>
          <w:szCs w:val="28"/>
          <w:lang w:val="ru-RU"/>
        </w:rPr>
      </w:pPr>
      <w:r w:rsidRPr="00C91E92">
        <w:rPr>
          <w:b/>
          <w:sz w:val="28"/>
          <w:szCs w:val="28"/>
          <w:lang w:val="ru-RU"/>
        </w:rPr>
        <w:t>Осуществление рекомендаций, принятых на пят</w:t>
      </w:r>
      <w:r w:rsidR="005F7EC6" w:rsidRPr="00C91E92">
        <w:rPr>
          <w:b/>
          <w:sz w:val="28"/>
          <w:szCs w:val="28"/>
          <w:lang w:val="ru-RU"/>
        </w:rPr>
        <w:t>ь</w:t>
      </w:r>
      <w:r w:rsidRPr="00C91E92">
        <w:rPr>
          <w:b/>
          <w:sz w:val="28"/>
          <w:szCs w:val="28"/>
          <w:lang w:val="ru-RU"/>
        </w:rPr>
        <w:t>десят</w:t>
      </w:r>
      <w:r w:rsidR="005F7EC6" w:rsidRPr="00C91E92">
        <w:rPr>
          <w:b/>
          <w:sz w:val="28"/>
          <w:szCs w:val="28"/>
          <w:lang w:val="ru-RU"/>
        </w:rPr>
        <w:t xml:space="preserve"> </w:t>
      </w:r>
      <w:r w:rsidR="00E24738">
        <w:rPr>
          <w:b/>
          <w:sz w:val="28"/>
          <w:szCs w:val="28"/>
          <w:lang w:val="ru-RU"/>
        </w:rPr>
        <w:t>втор</w:t>
      </w:r>
      <w:r w:rsidR="005F7EC6" w:rsidRPr="00C91E92">
        <w:rPr>
          <w:b/>
          <w:sz w:val="28"/>
          <w:szCs w:val="28"/>
          <w:lang w:val="ru-RU"/>
        </w:rPr>
        <w:t>ой сессии</w:t>
      </w:r>
      <w:r w:rsidRPr="00C91E92">
        <w:rPr>
          <w:b/>
          <w:sz w:val="28"/>
          <w:szCs w:val="28"/>
          <w:lang w:val="ru-RU"/>
        </w:rPr>
        <w:br/>
        <w:t>Подкомиссии по незаконному обороту наркотиков</w:t>
      </w:r>
      <w:r w:rsidR="007B022D">
        <w:rPr>
          <w:b/>
          <w:sz w:val="28"/>
          <w:szCs w:val="28"/>
          <w:lang w:val="ru-RU"/>
        </w:rPr>
        <w:br/>
      </w:r>
      <w:r w:rsidRPr="00C91E92">
        <w:rPr>
          <w:b/>
          <w:sz w:val="28"/>
          <w:szCs w:val="28"/>
          <w:lang w:val="ru-RU"/>
        </w:rPr>
        <w:t>на Ближнем и Среднем Востоке и связанным с этим вопросам,</w:t>
      </w:r>
      <w:r w:rsidR="007B022D">
        <w:rPr>
          <w:b/>
          <w:sz w:val="28"/>
          <w:szCs w:val="28"/>
          <w:lang w:val="ru-RU"/>
        </w:rPr>
        <w:br/>
      </w:r>
      <w:r w:rsidRPr="00C91E92">
        <w:rPr>
          <w:b/>
          <w:sz w:val="28"/>
          <w:szCs w:val="28"/>
          <w:lang w:val="ru-RU"/>
        </w:rPr>
        <w:t>про</w:t>
      </w:r>
      <w:r w:rsidR="00BB6773" w:rsidRPr="00C91E92">
        <w:rPr>
          <w:b/>
          <w:sz w:val="28"/>
          <w:szCs w:val="28"/>
          <w:lang w:val="ru-RU"/>
        </w:rPr>
        <w:t>шед</w:t>
      </w:r>
      <w:r w:rsidRPr="00C91E92">
        <w:rPr>
          <w:b/>
          <w:sz w:val="28"/>
          <w:szCs w:val="28"/>
          <w:lang w:val="ru-RU"/>
        </w:rPr>
        <w:t xml:space="preserve">шей в </w:t>
      </w:r>
      <w:r w:rsidR="00E24738" w:rsidRPr="00E24738">
        <w:rPr>
          <w:b/>
          <w:sz w:val="28"/>
          <w:szCs w:val="28"/>
          <w:lang w:val="ru-RU"/>
        </w:rPr>
        <w:t>Бейруте</w:t>
      </w:r>
      <w:r w:rsidR="007B022D" w:rsidRPr="00331D15">
        <w:rPr>
          <w:b/>
          <w:sz w:val="28"/>
          <w:szCs w:val="28"/>
          <w:lang w:val="ru-RU"/>
        </w:rPr>
        <w:t xml:space="preserve"> </w:t>
      </w:r>
      <w:r w:rsidR="00E24738">
        <w:rPr>
          <w:b/>
          <w:sz w:val="28"/>
          <w:szCs w:val="28"/>
          <w:lang w:val="ru-RU"/>
        </w:rPr>
        <w:t>13</w:t>
      </w:r>
      <w:r w:rsidR="00BB6773" w:rsidRPr="00C91E92">
        <w:rPr>
          <w:b/>
          <w:sz w:val="28"/>
          <w:szCs w:val="28"/>
          <w:lang w:val="ru-RU"/>
        </w:rPr>
        <w:t>–</w:t>
      </w:r>
      <w:r w:rsidR="00E24738">
        <w:rPr>
          <w:b/>
          <w:sz w:val="28"/>
          <w:szCs w:val="28"/>
          <w:lang w:val="ru-RU"/>
        </w:rPr>
        <w:t>17</w:t>
      </w:r>
      <w:r w:rsidR="00BB6773" w:rsidRPr="00C91E92">
        <w:rPr>
          <w:b/>
          <w:sz w:val="28"/>
          <w:szCs w:val="28"/>
          <w:lang w:val="ru-RU"/>
        </w:rPr>
        <w:t xml:space="preserve"> ноября 201</w:t>
      </w:r>
      <w:r w:rsidR="00E24738">
        <w:rPr>
          <w:b/>
          <w:sz w:val="28"/>
          <w:szCs w:val="28"/>
          <w:lang w:val="ru-RU"/>
        </w:rPr>
        <w:t>7</w:t>
      </w:r>
      <w:r w:rsidR="00BB6773" w:rsidRPr="00C91E92">
        <w:rPr>
          <w:b/>
          <w:sz w:val="28"/>
          <w:szCs w:val="28"/>
          <w:lang w:val="ru-RU"/>
        </w:rPr>
        <w:t> года</w:t>
      </w: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DA2C12" w:rsidRPr="00C91E92" w:rsidRDefault="00FF4221" w:rsidP="00DA2C12">
      <w:pPr>
        <w:jc w:val="center"/>
        <w:rPr>
          <w:b/>
          <w:sz w:val="28"/>
          <w:szCs w:val="28"/>
          <w:lang w:val="ru-RU"/>
        </w:rPr>
      </w:pPr>
      <w:r w:rsidRPr="00C91E92">
        <w:rPr>
          <w:b/>
          <w:sz w:val="28"/>
          <w:szCs w:val="28"/>
          <w:lang w:val="ru-RU"/>
        </w:rPr>
        <w:t>ВОПРОСНИК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977"/>
        <w:gridCol w:w="3361"/>
      </w:tblGrid>
      <w:tr w:rsidR="009D1DF9" w:rsidRPr="00C91E92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b/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lang w:val="ru-RU"/>
              </w:rPr>
              <w:t>Информация о представлении данных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Название страны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0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Дата представления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1"/>
          </w:p>
        </w:tc>
      </w:tr>
      <w:tr w:rsidR="009D1DF9" w:rsidRPr="00C91E92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iCs/>
                <w:lang w:val="ru-RU"/>
              </w:rPr>
              <w:t>Информация для целей последующей деятельности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t>Контактное лицо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widowControl w:val="0"/>
              <w:snapToGrid w:val="0"/>
              <w:rPr>
                <w:lang w:val="ru-RU"/>
              </w:rPr>
            </w:pPr>
            <w:r w:rsidRPr="00C91E92">
              <w:rPr>
                <w:lang w:val="ru-RU"/>
              </w:rPr>
              <w:t>Должность и организация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2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480" w:after="480"/>
              <w:rPr>
                <w:lang w:val="ru-RU"/>
              </w:rPr>
            </w:pPr>
            <w:r w:rsidRPr="00C91E92">
              <w:rPr>
                <w:lang w:val="ru-RU"/>
              </w:rPr>
              <w:t>Адрес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480" w:after="48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3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Телефон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4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Факс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5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Эл. почта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6"/>
          </w:p>
        </w:tc>
      </w:tr>
      <w:tr w:rsidR="009D1DF9" w:rsidRPr="00B75828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b/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lang w:val="ru-RU"/>
              </w:rPr>
              <w:t>Публикация на веб-сайте УНП ООН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t xml:space="preserve">Согласны ли Вы с размещением вопросника </w:t>
            </w:r>
            <w:r w:rsidRPr="00C91E92">
              <w:rPr>
                <w:lang w:val="ru-RU"/>
              </w:rPr>
              <w:br/>
              <w:t xml:space="preserve">в том виде, в котором он будет получен, </w:t>
            </w:r>
            <w:r w:rsidRPr="00C91E92">
              <w:rPr>
                <w:lang w:val="ru-RU"/>
              </w:rPr>
              <w:br/>
              <w:t>на веб-сайте УНП ООН?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C91E92">
              <w:rPr>
                <w:lang w:val="ru-RU"/>
              </w:rPr>
              <w:instrText xml:space="preserve"> FORMCHECKBOX </w:instrText>
            </w:r>
            <w:r w:rsidR="00513A07">
              <w:rPr>
                <w:lang w:val="ru-RU"/>
              </w:rPr>
            </w:r>
            <w:r w:rsidR="00513A07">
              <w:rPr>
                <w:lang w:val="ru-RU"/>
              </w:rPr>
              <w:fldChar w:fldCharType="separate"/>
            </w:r>
            <w:r w:rsidRPr="00C91E92">
              <w:rPr>
                <w:lang w:val="ru-RU"/>
              </w:rPr>
              <w:fldChar w:fldCharType="end"/>
            </w:r>
            <w:bookmarkEnd w:id="7"/>
            <w:r w:rsidRPr="00C91E92">
              <w:rPr>
                <w:lang w:val="ru-RU"/>
              </w:rPr>
              <w:t xml:space="preserve"> </w:t>
            </w:r>
            <w:r w:rsidR="00FF4221" w:rsidRPr="00C91E92">
              <w:rPr>
                <w:lang w:val="ru-RU"/>
              </w:rPr>
              <w:t>ДА</w:t>
            </w:r>
          </w:p>
          <w:p w:rsidR="009D1DF9" w:rsidRPr="00C91E92" w:rsidRDefault="009D1DF9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C91E92">
              <w:rPr>
                <w:lang w:val="ru-RU"/>
              </w:rPr>
              <w:instrText xml:space="preserve"> FORMCHECKBOX </w:instrText>
            </w:r>
            <w:r w:rsidR="00513A07">
              <w:rPr>
                <w:lang w:val="ru-RU"/>
              </w:rPr>
            </w:r>
            <w:r w:rsidR="00513A07">
              <w:rPr>
                <w:lang w:val="ru-RU"/>
              </w:rPr>
              <w:fldChar w:fldCharType="separate"/>
            </w:r>
            <w:r w:rsidRPr="00C91E92">
              <w:rPr>
                <w:lang w:val="ru-RU"/>
              </w:rPr>
              <w:fldChar w:fldCharType="end"/>
            </w:r>
            <w:bookmarkEnd w:id="8"/>
            <w:r w:rsidRPr="00C91E92">
              <w:rPr>
                <w:lang w:val="ru-RU"/>
              </w:rPr>
              <w:t xml:space="preserve"> </w:t>
            </w:r>
            <w:r w:rsidR="00FF4221" w:rsidRPr="00C91E92">
              <w:rPr>
                <w:lang w:val="ru-RU"/>
              </w:rPr>
              <w:t>НЕТ</w:t>
            </w:r>
          </w:p>
        </w:tc>
      </w:tr>
    </w:tbl>
    <w:p w:rsidR="00A84256" w:rsidRPr="00C91E92" w:rsidRDefault="00A84256" w:rsidP="00E04B90">
      <w:pPr>
        <w:suppressAutoHyphens/>
        <w:spacing w:line="240" w:lineRule="exact"/>
        <w:jc w:val="center"/>
        <w:rPr>
          <w:b/>
          <w:bCs/>
          <w:sz w:val="22"/>
          <w:szCs w:val="22"/>
          <w:lang w:val="ru-RU"/>
        </w:rPr>
      </w:pPr>
    </w:p>
    <w:p w:rsidR="00E04B90" w:rsidRPr="00C91E92" w:rsidRDefault="00FF4221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b/>
          <w:bCs/>
          <w:sz w:val="22"/>
          <w:szCs w:val="22"/>
          <w:lang w:val="ru-RU"/>
        </w:rPr>
        <w:t>ПРОСЬБА НАПРАВИТЬ ДАННЫЙ ВОПРОСНИК (</w:t>
      </w:r>
      <w:r w:rsidR="00561749" w:rsidRPr="00C91E92">
        <w:rPr>
          <w:b/>
          <w:bCs/>
          <w:sz w:val="22"/>
          <w:szCs w:val="22"/>
          <w:u w:val="single"/>
          <w:lang w:val="ru-RU"/>
        </w:rPr>
        <w:t>В ФОРМАТЕ WORD</w:t>
      </w:r>
      <w:r w:rsidRPr="00C91E92">
        <w:rPr>
          <w:b/>
          <w:bCs/>
          <w:sz w:val="22"/>
          <w:szCs w:val="22"/>
          <w:lang w:val="ru-RU"/>
        </w:rPr>
        <w:t>) ПО АДРЕСУ:</w:t>
      </w:r>
    </w:p>
    <w:p w:rsidR="00E04B90" w:rsidRPr="00C91E92" w:rsidRDefault="00E04B90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E04B90" w:rsidRPr="00C91E92" w:rsidRDefault="00C6590F" w:rsidP="00BB6773">
      <w:pPr>
        <w:tabs>
          <w:tab w:val="center" w:pos="5400"/>
          <w:tab w:val="left" w:pos="10093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ab/>
      </w:r>
      <w:r w:rsidR="00BB677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>Секретариат руководящих органов</w:t>
      </w:r>
    </w:p>
    <w:p w:rsidR="00782AE3" w:rsidRPr="00C91E92" w:rsidRDefault="00C6590F" w:rsidP="00BB6773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ab/>
      </w:r>
      <w:r w:rsidR="00FF4221" w:rsidRPr="00C91E92">
        <w:rPr>
          <w:b/>
          <w:bCs/>
          <w:sz w:val="22"/>
          <w:szCs w:val="22"/>
          <w:lang w:val="ru-RU"/>
        </w:rPr>
        <w:t>Эл. почта</w:t>
      </w:r>
      <w:r w:rsidR="00E04B90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9" w:history="1">
        <w:r w:rsidR="00BB6773" w:rsidRPr="00C91E92">
          <w:rPr>
            <w:rStyle w:val="Hyperlink"/>
            <w:rFonts w:eastAsia="Times New Roman"/>
            <w:b/>
            <w:bCs/>
            <w:spacing w:val="4"/>
            <w:w w:val="103"/>
            <w:kern w:val="14"/>
            <w:sz w:val="22"/>
            <w:szCs w:val="22"/>
            <w:lang w:val="ru-RU" w:eastAsia="en-US"/>
          </w:rPr>
          <w:t>unodc-sgb@un.org</w:t>
        </w:r>
      </w:hyperlink>
      <w:r w:rsidR="00E04B90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C91E92" w:rsidRDefault="00FF4221" w:rsidP="00E24738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>Копия</w:t>
      </w:r>
      <w:r w:rsidR="00782AE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10" w:history="1">
        <w:r w:rsidR="00E24738" w:rsidRPr="00E24738">
          <w:rPr>
            <w:rStyle w:val="Hyperlink"/>
            <w:b/>
            <w:bCs/>
            <w:sz w:val="22"/>
            <w:szCs w:val="22"/>
          </w:rPr>
          <w:t>simone</w:t>
        </w:r>
        <w:r w:rsidR="00E24738" w:rsidRPr="00B6367B">
          <w:rPr>
            <w:rStyle w:val="Hyperlink"/>
            <w:b/>
            <w:bCs/>
            <w:sz w:val="22"/>
            <w:szCs w:val="22"/>
            <w:lang w:val="ru-RU"/>
          </w:rPr>
          <w:t>.</w:t>
        </w:r>
        <w:r w:rsidR="00E24738" w:rsidRPr="00E24738">
          <w:rPr>
            <w:rStyle w:val="Hyperlink"/>
            <w:b/>
            <w:bCs/>
            <w:sz w:val="22"/>
            <w:szCs w:val="22"/>
          </w:rPr>
          <w:t>rupprich</w:t>
        </w:r>
        <w:r w:rsidR="00E24738" w:rsidRPr="00B6367B">
          <w:rPr>
            <w:rStyle w:val="Hyperlink"/>
            <w:b/>
            <w:bCs/>
            <w:sz w:val="22"/>
            <w:szCs w:val="22"/>
            <w:lang w:val="ru-RU"/>
          </w:rPr>
          <w:t>@</w:t>
        </w:r>
        <w:r w:rsidR="00E24738" w:rsidRPr="00E24738">
          <w:rPr>
            <w:rStyle w:val="Hyperlink"/>
            <w:b/>
            <w:bCs/>
            <w:sz w:val="22"/>
            <w:szCs w:val="22"/>
          </w:rPr>
          <w:t>un</w:t>
        </w:r>
        <w:r w:rsidR="00E24738" w:rsidRPr="00B6367B">
          <w:rPr>
            <w:rStyle w:val="Hyperlink"/>
            <w:b/>
            <w:bCs/>
            <w:sz w:val="22"/>
            <w:szCs w:val="22"/>
            <w:lang w:val="ru-RU"/>
          </w:rPr>
          <w:t>.</w:t>
        </w:r>
        <w:r w:rsidR="00E24738" w:rsidRPr="00E24738">
          <w:rPr>
            <w:rStyle w:val="Hyperlink"/>
            <w:b/>
            <w:bCs/>
            <w:sz w:val="22"/>
            <w:szCs w:val="22"/>
          </w:rPr>
          <w:t>org</w:t>
        </w:r>
      </w:hyperlink>
      <w:r w:rsidR="00782AE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C91E92" w:rsidRDefault="00BB6773" w:rsidP="00782AE3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Управление Организации Объединенных Наций </w:t>
      </w: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br/>
        <w:t>по наркотикам и преступности (УНП ООН)</w:t>
      </w:r>
    </w:p>
    <w:p w:rsidR="00E04B90" w:rsidRPr="00C91E92" w:rsidRDefault="00E04B90" w:rsidP="00E04B90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lang w:val="ru-RU" w:eastAsia="en-US"/>
        </w:rPr>
      </w:pPr>
    </w:p>
    <w:p w:rsidR="00E04B90" w:rsidRPr="00C91E92" w:rsidRDefault="00FF4221" w:rsidP="00BB6773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sz w:val="28"/>
          <w:szCs w:val="28"/>
          <w:lang w:val="ru-RU" w:eastAsia="en-US"/>
        </w:rPr>
      </w:pPr>
      <w:r w:rsidRPr="00C91E92">
        <w:rPr>
          <w:b/>
          <w:bCs/>
          <w:sz w:val="28"/>
          <w:szCs w:val="28"/>
          <w:lang w:val="ru-RU"/>
        </w:rPr>
        <w:t>до 1</w:t>
      </w:r>
      <w:r w:rsidR="00E24738">
        <w:rPr>
          <w:b/>
          <w:bCs/>
          <w:sz w:val="28"/>
          <w:szCs w:val="28"/>
          <w:lang w:val="ru-RU"/>
        </w:rPr>
        <w:t>4</w:t>
      </w:r>
      <w:r w:rsidRPr="00C91E92">
        <w:rPr>
          <w:b/>
          <w:bCs/>
          <w:sz w:val="28"/>
          <w:szCs w:val="28"/>
          <w:lang w:val="ru-RU"/>
        </w:rPr>
        <w:t xml:space="preserve"> </w:t>
      </w:r>
      <w:r w:rsidR="00E24738">
        <w:rPr>
          <w:b/>
          <w:bCs/>
          <w:sz w:val="28"/>
          <w:szCs w:val="28"/>
          <w:lang w:val="ru-RU"/>
        </w:rPr>
        <w:t>июня</w:t>
      </w:r>
      <w:r w:rsidRPr="00C91E92">
        <w:rPr>
          <w:b/>
          <w:bCs/>
          <w:sz w:val="28"/>
          <w:szCs w:val="28"/>
          <w:lang w:val="ru-RU"/>
        </w:rPr>
        <w:t xml:space="preserve"> 201</w:t>
      </w:r>
      <w:r w:rsidR="00E24738">
        <w:rPr>
          <w:b/>
          <w:bCs/>
          <w:sz w:val="28"/>
          <w:szCs w:val="28"/>
          <w:lang w:val="ru-RU"/>
        </w:rPr>
        <w:t>9</w:t>
      </w:r>
      <w:r w:rsidRPr="00C91E92">
        <w:rPr>
          <w:b/>
          <w:bCs/>
          <w:sz w:val="28"/>
          <w:szCs w:val="28"/>
          <w:lang w:val="ru-RU"/>
        </w:rPr>
        <w:t xml:space="preserve"> года</w:t>
      </w: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BD0DE6" w:rsidRPr="00C91E92" w:rsidRDefault="00FF4221" w:rsidP="00BD0DE6">
      <w:pPr>
        <w:suppressAutoHyphens/>
        <w:jc w:val="center"/>
        <w:rPr>
          <w:rFonts w:eastAsia="Times New Roman"/>
          <w:b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 xml:space="preserve">Инструкция по заполнению вопросника </w:t>
      </w:r>
      <w:r w:rsidR="004D38F7"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br/>
      </w:r>
      <w:r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>об осуществлении рекомендаций</w:t>
      </w: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4D38F7">
      <w:pPr>
        <w:suppressAutoHyphens/>
        <w:spacing w:line="240" w:lineRule="exact"/>
        <w:ind w:left="993" w:right="1019" w:firstLine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>Секретариат просит правительства учитывать при заполнении вопросника следующее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:</w:t>
      </w:r>
    </w:p>
    <w:p w:rsidR="00BD0DE6" w:rsidRPr="00C91E92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bookmarkStart w:id="9" w:name="_Hlk5013584"/>
      <w:r w:rsidRPr="00C91E92">
        <w:rPr>
          <w:bCs/>
          <w:lang w:val="ru-RU"/>
        </w:rPr>
        <w:t>следует</w:t>
      </w:r>
      <w:bookmarkEnd w:id="9"/>
      <w:r w:rsidRPr="00C91E92">
        <w:rPr>
          <w:bCs/>
          <w:lang w:val="ru-RU"/>
        </w:rPr>
        <w:t xml:space="preserve"> </w:t>
      </w:r>
      <w:r w:rsidRPr="00C91E92">
        <w:rPr>
          <w:b/>
          <w:bCs/>
          <w:lang w:val="ru-RU"/>
        </w:rPr>
        <w:t xml:space="preserve">обобщить информацию о принятых мерах </w:t>
      </w:r>
      <w:r w:rsidRPr="00C91E92">
        <w:rPr>
          <w:bCs/>
          <w:lang w:val="ru-RU"/>
        </w:rPr>
        <w:t>по выполнению каждой рекомендации в пределах 200 слов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E24738" w:rsidP="00E24738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E24738">
        <w:rPr>
          <w:bCs/>
          <w:lang w:val="ru-RU"/>
        </w:rPr>
        <w:t>следует</w:t>
      </w:r>
      <w:r w:rsidR="00FF4221" w:rsidRPr="00C91E92">
        <w:rPr>
          <w:bCs/>
          <w:lang w:val="ru-RU"/>
        </w:rPr>
        <w:t xml:space="preserve"> дать </w:t>
      </w:r>
      <w:r w:rsidR="00FF4221" w:rsidRPr="00C91E92">
        <w:rPr>
          <w:b/>
          <w:bCs/>
          <w:lang w:val="ru-RU"/>
        </w:rPr>
        <w:t>полные ссылки</w:t>
      </w:r>
      <w:r w:rsidR="00FF4221" w:rsidRPr="00C91E92">
        <w:rPr>
          <w:bCs/>
          <w:lang w:val="ru-RU"/>
        </w:rPr>
        <w:t xml:space="preserve"> на законодательные акты или любые другие документы, если они имеют отношение к выполнению каждой рекомендации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E24738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если возможно и уместно, </w:t>
      </w:r>
      <w:r w:rsidR="00E24738" w:rsidRPr="00E24738">
        <w:rPr>
          <w:bCs/>
          <w:lang w:val="ru-RU"/>
        </w:rPr>
        <w:t>следует</w:t>
      </w:r>
      <w:r w:rsidRPr="00C91E92">
        <w:rPr>
          <w:bCs/>
          <w:lang w:val="ru-RU"/>
        </w:rPr>
        <w:t xml:space="preserve"> представить </w:t>
      </w:r>
      <w:r w:rsidRPr="00C91E92">
        <w:rPr>
          <w:b/>
          <w:bCs/>
          <w:lang w:val="ru-RU"/>
        </w:rPr>
        <w:t>количественные данные</w:t>
      </w:r>
      <w:r w:rsidR="00A35A02" w:rsidRPr="00C91E92">
        <w:rPr>
          <w:bCs/>
          <w:lang w:val="ru-RU"/>
        </w:rPr>
        <w:t xml:space="preserve"> в </w:t>
      </w:r>
      <w:r w:rsidRPr="00C91E92">
        <w:rPr>
          <w:bCs/>
          <w:lang w:val="ru-RU"/>
        </w:rPr>
        <w:t>дополнение к описанию принятых мер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E24738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если уместно, </w:t>
      </w:r>
      <w:r w:rsidR="00E24738" w:rsidRPr="00E24738">
        <w:rPr>
          <w:bCs/>
          <w:lang w:val="ru-RU"/>
        </w:rPr>
        <w:t>следует</w:t>
      </w:r>
      <w:r w:rsidRPr="00C91E92">
        <w:rPr>
          <w:bCs/>
          <w:lang w:val="ru-RU"/>
        </w:rPr>
        <w:t xml:space="preserve"> представить информацию об </w:t>
      </w:r>
      <w:r w:rsidR="00A35A02" w:rsidRPr="00C91E92">
        <w:rPr>
          <w:b/>
          <w:bCs/>
          <w:lang w:val="ru-RU"/>
        </w:rPr>
        <w:t>основных препятствиях на </w:t>
      </w:r>
      <w:r w:rsidRPr="00C91E92">
        <w:rPr>
          <w:b/>
          <w:bCs/>
          <w:lang w:val="ru-RU"/>
        </w:rPr>
        <w:t>пути к выполнению</w:t>
      </w:r>
      <w:r w:rsidRPr="00C91E92">
        <w:rPr>
          <w:bCs/>
          <w:lang w:val="ru-RU"/>
        </w:rPr>
        <w:t xml:space="preserve"> той или иной рекомендации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.</w:t>
      </w:r>
    </w:p>
    <w:p w:rsidR="002972FC" w:rsidRPr="00C91E92" w:rsidRDefault="002972FC" w:rsidP="002972FC">
      <w:pPr>
        <w:pStyle w:val="ListParagrap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972FC" w:rsidRPr="00C91E92" w:rsidRDefault="002972FC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C91E92" w:rsidTr="00DB07F7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2972FC" w:rsidRPr="00C91E92" w:rsidRDefault="004F5B4A" w:rsidP="004F5B4A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>Вопрос</w:t>
            </w:r>
            <w:r w:rsidR="002972FC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 xml:space="preserve"> I</w:t>
            </w:r>
          </w:p>
        </w:tc>
      </w:tr>
      <w:tr w:rsidR="002972FC" w:rsidRPr="00B75828" w:rsidTr="00DB07F7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2972FC" w:rsidRPr="005436A0" w:rsidRDefault="005436A0" w:rsidP="005436A0">
            <w:pPr>
              <w:widowControl w:val="0"/>
              <w:suppressAutoHyphens/>
              <w:spacing w:before="120" w:after="40" w:line="240" w:lineRule="exact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5436A0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Упреждающий подход, основанный на оперативных данных, и наращивание потенциала в области сбора, систематизации, анализа и распространения оперативных данных уголовно-правового характера</w:t>
            </w:r>
          </w:p>
        </w:tc>
      </w:tr>
      <w:tr w:rsidR="002972FC" w:rsidRPr="00C91E92" w:rsidTr="00DB07F7">
        <w:trPr>
          <w:trHeight w:val="567"/>
        </w:trPr>
        <w:tc>
          <w:tcPr>
            <w:tcW w:w="11016" w:type="dxa"/>
            <w:vAlign w:val="center"/>
          </w:tcPr>
          <w:p w:rsidR="002972FC" w:rsidRPr="00C91E92" w:rsidRDefault="00894F0F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2972FC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1</w:t>
            </w:r>
          </w:p>
        </w:tc>
      </w:tr>
    </w:tbl>
    <w:p w:rsidR="00955E9A" w:rsidRPr="00C91E92" w:rsidRDefault="00894F0F" w:rsidP="005436A0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 xml:space="preserve">Правительствам </w:t>
      </w:r>
      <w:r w:rsidR="005436A0" w:rsidRPr="005436A0">
        <w:rPr>
          <w:lang w:val="ru-RU"/>
        </w:rPr>
        <w:t>следует поддерживать и обеспечивать более эффективную координацию и сотрудничество на национальном уровне между правоохранительными органами и другими соответствующими органами с целью облегчения обмена оперативными данными уголовно-правового характера и их активного использования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B75828" w:rsidTr="00DB07F7">
        <w:tc>
          <w:tcPr>
            <w:tcW w:w="11016" w:type="dxa"/>
          </w:tcPr>
          <w:p w:rsidR="00DB07F7" w:rsidRPr="00C91E92" w:rsidRDefault="00DB07F7" w:rsidP="00DB07F7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72FC" w:rsidRPr="00C91E92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bookmarkEnd w:id="10"/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2972FC" w:rsidRPr="00B75828" w:rsidTr="00DB07F7">
        <w:tc>
          <w:tcPr>
            <w:tcW w:w="11016" w:type="dxa"/>
          </w:tcPr>
          <w:p w:rsidR="002972FC" w:rsidRPr="00C91E92" w:rsidRDefault="002972FC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72FC" w:rsidRPr="00C91E92" w:rsidTr="00DB07F7">
        <w:tc>
          <w:tcPr>
            <w:tcW w:w="11016" w:type="dxa"/>
          </w:tcPr>
          <w:p w:rsidR="002972FC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:</w:t>
            </w:r>
          </w:p>
        </w:tc>
      </w:tr>
    </w:tbl>
    <w:p w:rsidR="00DB07F7" w:rsidRPr="00C91E92" w:rsidRDefault="008249DA" w:rsidP="00DB07F7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1"/>
    </w:p>
    <w:p w:rsidR="002972FC" w:rsidRPr="00C91E92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C91E92" w:rsidRDefault="00877180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2</w:t>
            </w:r>
          </w:p>
        </w:tc>
      </w:tr>
    </w:tbl>
    <w:p w:rsidR="000D7F55" w:rsidRPr="00C91E92" w:rsidRDefault="00894F0F" w:rsidP="005436A0">
      <w:pPr>
        <w:framePr w:w="10890" w:h="1453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 xml:space="preserve">Правительствам </w:t>
      </w:r>
      <w:r w:rsidR="005436A0" w:rsidRPr="005436A0">
        <w:rPr>
          <w:lang w:val="ru-RU"/>
        </w:rPr>
        <w:t>следует обеспечить наличие у учебных учреждений соответствующей учебной программы и учебных средств, а также специального оборудования и программного обеспечения для обучения специалистов по анализу оперативных данных уголовно-правового характера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2"/>
    </w:p>
    <w:p w:rsidR="001C54D5" w:rsidRPr="00C91E92" w:rsidRDefault="001C54D5">
      <w:pPr>
        <w:rPr>
          <w:b/>
          <w:lang w:val="ru-RU"/>
        </w:rPr>
      </w:pPr>
      <w:r w:rsidRPr="00C91E92">
        <w:rPr>
          <w:b/>
          <w:lang w:val="ru-RU"/>
        </w:rPr>
        <w:br w:type="page"/>
      </w:r>
    </w:p>
    <w:p w:rsidR="001C54D5" w:rsidRPr="00C91E92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3</w:t>
            </w:r>
          </w:p>
        </w:tc>
      </w:tr>
    </w:tbl>
    <w:p w:rsidR="000D7F55" w:rsidRPr="00C91E92" w:rsidRDefault="00E063C7" w:rsidP="005436A0">
      <w:pPr>
        <w:framePr w:w="10890" w:h="1478" w:hSpace="180" w:wrap="around" w:vAnchor="text" w:hAnchor="page" w:x="67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 xml:space="preserve">Правительствам </w:t>
      </w:r>
      <w:r w:rsidR="005436A0" w:rsidRPr="005436A0">
        <w:rPr>
          <w:lang w:val="ru-RU"/>
        </w:rPr>
        <w:t>следует поощрять более активное и систематическое использование существующих региональных и международных правоохранительных структур для обмена оперативными данными уголовно-правового характера</w:t>
      </w:r>
      <w:r w:rsidRPr="00C91E92">
        <w:rPr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3"/>
    </w:p>
    <w:p w:rsidR="001C54D5" w:rsidRPr="00C91E92" w:rsidRDefault="001C54D5" w:rsidP="001C54D5">
      <w:pPr>
        <w:rPr>
          <w:b/>
          <w:lang w:val="ru-RU"/>
        </w:rPr>
      </w:pPr>
    </w:p>
    <w:p w:rsidR="00293548" w:rsidRPr="00C91E92" w:rsidRDefault="00293548" w:rsidP="00293548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293548" w:rsidRPr="00C91E92" w:rsidRDefault="00293548" w:rsidP="0029354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4</w:t>
            </w:r>
          </w:p>
        </w:tc>
      </w:tr>
    </w:tbl>
    <w:p w:rsidR="00293548" w:rsidRPr="00C91E92" w:rsidRDefault="00293548" w:rsidP="005436A0">
      <w:pPr>
        <w:framePr w:w="10890" w:h="1478" w:hSpace="180" w:wrap="around" w:vAnchor="text" w:hAnchor="page" w:x="67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5436A0">
        <w:rPr>
          <w:lang w:val="ru-RU"/>
        </w:rPr>
        <w:t>П</w:t>
      </w:r>
      <w:r w:rsidR="005436A0" w:rsidRPr="005436A0">
        <w:rPr>
          <w:lang w:val="ru-RU"/>
        </w:rPr>
        <w:t>равительствам следует предложить рассмотреть соответствующие меры для обеспечения сохранения в национальных организациях подготовленных специалистов по анализу данных</w:t>
      </w:r>
      <w:r w:rsidRPr="00C91E92">
        <w:rPr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B75828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3548" w:rsidRPr="00C91E92" w:rsidRDefault="00293548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293548" w:rsidRPr="00B75828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293548" w:rsidRPr="00C91E92" w:rsidRDefault="00293548" w:rsidP="00293548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293548" w:rsidRPr="00C91E92" w:rsidRDefault="00293548" w:rsidP="00293548">
      <w:pPr>
        <w:rPr>
          <w:b/>
          <w:lang w:val="ru-RU"/>
        </w:rPr>
      </w:pPr>
    </w:p>
    <w:p w:rsidR="0024037D" w:rsidRPr="00C91E92" w:rsidRDefault="0024037D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B75828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1C54D5" w:rsidRPr="00C91E92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 xml:space="preserve">Вопрос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II</w:t>
            </w:r>
          </w:p>
        </w:tc>
      </w:tr>
      <w:tr w:rsidR="001C54D5" w:rsidRPr="00B75828" w:rsidTr="00B75828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1C54D5" w:rsidRPr="005436A0" w:rsidRDefault="005436A0" w:rsidP="005436A0">
            <w:pPr>
              <w:widowControl w:val="0"/>
              <w:suppressAutoHyphens/>
              <w:spacing w:before="120"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5436A0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Борьба с отмыванием денег, незаконными финансовыми потоками и использованием «теневой сети» и криптовалют в связи с торговлей наркотиками</w:t>
            </w:r>
          </w:p>
        </w:tc>
      </w:tr>
      <w:tr w:rsidR="00293548" w:rsidRPr="00C91E92" w:rsidTr="005436A0">
        <w:trPr>
          <w:trHeight w:val="567"/>
        </w:trPr>
        <w:tc>
          <w:tcPr>
            <w:tcW w:w="10800" w:type="dxa"/>
            <w:vAlign w:val="center"/>
          </w:tcPr>
          <w:p w:rsidR="00293548" w:rsidRPr="00C91E92" w:rsidRDefault="00293548" w:rsidP="00BD3B90">
            <w:pPr>
              <w:widowControl w:val="0"/>
              <w:suppressAutoHyphens/>
              <w:spacing w:before="120"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5436A0">
              <w:rPr>
                <w:b/>
                <w:bCs/>
                <w:lang w:val="ru-RU"/>
              </w:rPr>
              <w:t>5</w:t>
            </w:r>
          </w:p>
        </w:tc>
      </w:tr>
    </w:tbl>
    <w:p w:rsidR="003B7021" w:rsidRPr="00C91E92" w:rsidRDefault="003B7021" w:rsidP="005436A0">
      <w:pPr>
        <w:framePr w:w="10892" w:h="1151" w:hSpace="181" w:wrap="around" w:vAnchor="text" w:hAnchor="page" w:x="6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BD3B90" w:rsidRPr="00C91E92">
        <w:rPr>
          <w:lang w:val="ru-RU"/>
        </w:rPr>
        <w:t xml:space="preserve">Правительствам </w:t>
      </w:r>
      <w:r w:rsidR="005436A0" w:rsidRPr="005436A0">
        <w:rPr>
          <w:lang w:val="ru-RU"/>
        </w:rPr>
        <w:t>следует поощрять более тесное сотрудничество между подразделениями финансовой разведки, правоохранительными органами и всеми другими соответствующими национальными учреждениями</w:t>
      </w:r>
      <w:r w:rsidR="00BD3B90" w:rsidRPr="00C91E92">
        <w:rPr>
          <w:lang w:val="ru-RU"/>
        </w:rPr>
        <w:t>.</w:t>
      </w:r>
      <w:bookmarkStart w:id="14" w:name="_GoBack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B75828" w:rsidTr="00BD3B90">
        <w:tc>
          <w:tcPr>
            <w:tcW w:w="10800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B75828" w:rsidTr="00BD3B90">
        <w:tc>
          <w:tcPr>
            <w:tcW w:w="10800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BD3B90">
        <w:tc>
          <w:tcPr>
            <w:tcW w:w="10800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5"/>
    </w:p>
    <w:p w:rsidR="001C54D5" w:rsidRPr="00C91E92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E063C7" w:rsidRPr="00C91E92" w:rsidRDefault="00E063C7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4037D" w:rsidRDefault="0024037D">
      <w:pPr>
        <w:rPr>
          <w:lang w:val="ru-RU"/>
        </w:rPr>
      </w:pPr>
    </w:p>
    <w:p w:rsidR="00A95C41" w:rsidRPr="00C91E92" w:rsidRDefault="00A95C41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1C54D5" w:rsidRPr="00C91E92" w:rsidRDefault="00894F0F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5436A0">
              <w:rPr>
                <w:b/>
                <w:bCs/>
                <w:lang w:val="ru-RU"/>
              </w:rPr>
              <w:t>6</w:t>
            </w:r>
          </w:p>
        </w:tc>
      </w:tr>
    </w:tbl>
    <w:p w:rsidR="000D7F55" w:rsidRPr="00A95C41" w:rsidRDefault="00E063C7" w:rsidP="00A95C41">
      <w:pPr>
        <w:framePr w:w="10890" w:h="1466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BD3B90" w:rsidRPr="00C91E92">
        <w:rPr>
          <w:lang w:val="ru-RU"/>
        </w:rPr>
        <w:t xml:space="preserve">Правительствам </w:t>
      </w:r>
      <w:r w:rsidR="00A95C41" w:rsidRPr="00A95C41">
        <w:rPr>
          <w:lang w:val="ru-RU"/>
        </w:rPr>
        <w:t>следует способствовать тому, чтобы правоохранительная деятельность основывалась на оперативных данных и носила упреждающий, а не ответный характер.</w:t>
      </w:r>
      <w:r w:rsidR="00A95C41">
        <w:rPr>
          <w:lang w:val="ru-RU"/>
        </w:rPr>
        <w:t xml:space="preserve"> </w:t>
      </w:r>
      <w:r w:rsidR="00A95C41" w:rsidRPr="00A95C41">
        <w:rPr>
          <w:lang w:val="ru-RU"/>
        </w:rPr>
        <w:t>Ключевыми аспектами этой работы являются сбор и последующий анализ оперативной финансовой информации</w:t>
      </w:r>
      <w:r w:rsidR="00A95C41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B75828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6"/>
    </w:p>
    <w:p w:rsidR="001C54D5" w:rsidRPr="00C91E92" w:rsidRDefault="001C54D5" w:rsidP="00C8710B">
      <w:pPr>
        <w:rPr>
          <w:b/>
          <w:lang w:val="ru-RU"/>
        </w:rPr>
      </w:pPr>
    </w:p>
    <w:p w:rsidR="00F36455" w:rsidRPr="00C91E92" w:rsidRDefault="00F36455" w:rsidP="00C8710B">
      <w:pPr>
        <w:rPr>
          <w:b/>
          <w:lang w:val="ru-RU"/>
        </w:rPr>
      </w:pPr>
    </w:p>
    <w:p w:rsidR="00877180" w:rsidRDefault="00877180" w:rsidP="00C8710B">
      <w:pPr>
        <w:rPr>
          <w:b/>
          <w:lang w:val="ru-RU"/>
        </w:rPr>
      </w:pPr>
    </w:p>
    <w:p w:rsidR="00A95C41" w:rsidRDefault="00A95C41" w:rsidP="00C8710B">
      <w:pPr>
        <w:rPr>
          <w:b/>
          <w:lang w:val="ru-RU"/>
        </w:rPr>
      </w:pPr>
    </w:p>
    <w:p w:rsidR="00A95C41" w:rsidRPr="00C91E92" w:rsidRDefault="00A95C41" w:rsidP="00C8710B">
      <w:pPr>
        <w:rPr>
          <w:b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C91E92" w:rsidRDefault="00894F0F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A95C41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7</w:t>
            </w:r>
          </w:p>
        </w:tc>
      </w:tr>
    </w:tbl>
    <w:p w:rsidR="000D7F55" w:rsidRPr="00C91E92" w:rsidRDefault="00E063C7" w:rsidP="00A95C41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A95C41">
        <w:rPr>
          <w:lang w:val="ru-RU"/>
        </w:rPr>
        <w:t>П</w:t>
      </w:r>
      <w:r w:rsidR="00A95C41" w:rsidRPr="00A95C41">
        <w:rPr>
          <w:lang w:val="ru-RU"/>
        </w:rPr>
        <w:t>равительствам следует внедрять меры и процедуры, которые способствуют более широкому обмену информацией между публичными учреждениями и частными компаниями финансового сектора</w:t>
      </w:r>
      <w:r w:rsidR="00BD3B90"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7"/>
    </w:p>
    <w:p w:rsidR="00955E9A" w:rsidRPr="00C91E92" w:rsidRDefault="00955E9A" w:rsidP="00955E9A">
      <w:pPr>
        <w:rPr>
          <w:b/>
          <w:lang w:val="ru-RU"/>
        </w:rPr>
      </w:pPr>
    </w:p>
    <w:p w:rsidR="00BD3B90" w:rsidRPr="00C91E92" w:rsidRDefault="00BD3B90" w:rsidP="00BD3B90">
      <w:pPr>
        <w:rPr>
          <w:b/>
          <w:lang w:val="ru-RU"/>
        </w:rPr>
      </w:pPr>
    </w:p>
    <w:p w:rsidR="0024037D" w:rsidRDefault="0024037D">
      <w:pPr>
        <w:rPr>
          <w:lang w:val="ru-RU"/>
        </w:rPr>
      </w:pPr>
    </w:p>
    <w:p w:rsidR="00A95C41" w:rsidRPr="00C91E92" w:rsidRDefault="00A95C41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BD3B90" w:rsidRPr="00C91E92" w:rsidRDefault="00BD3B90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A95C41">
              <w:rPr>
                <w:b/>
                <w:bCs/>
                <w:lang w:val="ru-RU"/>
              </w:rPr>
              <w:t>8</w:t>
            </w:r>
          </w:p>
        </w:tc>
      </w:tr>
    </w:tbl>
    <w:p w:rsidR="00BD3B90" w:rsidRPr="00C91E92" w:rsidRDefault="00BD3B90" w:rsidP="00A95C41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 xml:space="preserve">Правительства </w:t>
      </w:r>
      <w:r w:rsidR="00A95C41" w:rsidRPr="00A95C41">
        <w:rPr>
          <w:lang w:val="ru-RU"/>
        </w:rPr>
        <w:t>следует поощрять к взаимному обмену результатами практического изучения и тематических исследований экономических аспектов отмывания денег и незаконного оборота наркотиков, в том числе информацией о том, каким образом переводятся и используются доходы от незаконной деятельности, и о роли новых технологий в отмывании денег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B75828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BD3B90" w:rsidRPr="00C91E92" w:rsidRDefault="00BD3B90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BD3B90" w:rsidRPr="00B75828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BD3B90" w:rsidRPr="00C91E92" w:rsidRDefault="00BD3B90" w:rsidP="00BD3B9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BD3B90" w:rsidRPr="00C91E92" w:rsidRDefault="00BD3B90" w:rsidP="00BD3B90">
      <w:pPr>
        <w:rPr>
          <w:b/>
          <w:lang w:val="ru-RU"/>
        </w:rPr>
      </w:pPr>
    </w:p>
    <w:p w:rsidR="00BD3B90" w:rsidRDefault="00BD3B90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A95C41" w:rsidRDefault="00A95C41" w:rsidP="00BD3B90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B6367B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955E9A" w:rsidRPr="00C91E92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 xml:space="preserve">Вопрос </w:t>
            </w:r>
            <w:r w:rsidR="00955E9A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III</w:t>
            </w:r>
          </w:p>
        </w:tc>
      </w:tr>
      <w:tr w:rsidR="00955E9A" w:rsidRPr="00E24738" w:rsidTr="00B6367B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3D6707" w:rsidRPr="00C91E92" w:rsidRDefault="00A95C41" w:rsidP="00A95C41">
            <w:pPr>
              <w:widowControl w:val="0"/>
              <w:suppressAutoHyphens/>
              <w:spacing w:before="120" w:line="240" w:lineRule="exact"/>
              <w:ind w:right="28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A95C41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eastAsia="en-US"/>
              </w:rPr>
              <w:t>Эффективный пограничный контроль</w:t>
            </w:r>
          </w:p>
        </w:tc>
      </w:tr>
      <w:tr w:rsidR="0055483A" w:rsidRPr="00C91E92" w:rsidTr="00B6367B">
        <w:trPr>
          <w:trHeight w:val="567"/>
        </w:trPr>
        <w:tc>
          <w:tcPr>
            <w:tcW w:w="10800" w:type="dxa"/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A95C41">
              <w:rPr>
                <w:b/>
                <w:bCs/>
                <w:lang w:val="ru-RU"/>
              </w:rPr>
              <w:t>9</w:t>
            </w:r>
          </w:p>
        </w:tc>
      </w:tr>
    </w:tbl>
    <w:p w:rsidR="000D7F55" w:rsidRPr="00C91E92" w:rsidRDefault="00E063C7" w:rsidP="00A95C41">
      <w:pPr>
        <w:framePr w:w="10892" w:h="1004" w:hSpace="181" w:wrap="around" w:vAnchor="text" w:hAnchor="page" w:x="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A95C41">
        <w:rPr>
          <w:lang w:val="ru-RU"/>
        </w:rPr>
        <w:t>П</w:t>
      </w:r>
      <w:r w:rsidR="00A95C41" w:rsidRPr="00A95C41">
        <w:rPr>
          <w:lang w:val="ru-RU"/>
        </w:rPr>
        <w:t>равительствам следует рассмотреть вопрос об укреплении межучрежденческого сотрудничества для получения доступа к информации, технологиям, мандатам и оперативным возможностям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B75828" w:rsidTr="0055483A">
        <w:tc>
          <w:tcPr>
            <w:tcW w:w="10800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B75828" w:rsidTr="0055483A">
        <w:tc>
          <w:tcPr>
            <w:tcW w:w="10800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55483A">
        <w:tc>
          <w:tcPr>
            <w:tcW w:w="10800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8"/>
    </w:p>
    <w:p w:rsidR="00955E9A" w:rsidRPr="00C91E92" w:rsidRDefault="00955E9A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55483A" w:rsidRPr="00C91E92" w:rsidRDefault="0055483A">
      <w:pPr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C91E92" w:rsidRDefault="00877180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C91E92" w:rsidRDefault="00894F0F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55483A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1</w:t>
            </w:r>
            <w:r w:rsidR="00A95C41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0</w:t>
            </w:r>
          </w:p>
        </w:tc>
      </w:tr>
    </w:tbl>
    <w:p w:rsidR="00955E9A" w:rsidRPr="00C91E92" w:rsidRDefault="00E063C7" w:rsidP="00A95C41">
      <w:pPr>
        <w:framePr w:w="10890" w:h="1199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A95C41">
        <w:rPr>
          <w:lang w:val="ru-RU"/>
        </w:rPr>
        <w:t>С</w:t>
      </w:r>
      <w:r w:rsidR="00A95C41" w:rsidRPr="00A95C41">
        <w:rPr>
          <w:lang w:val="ru-RU"/>
        </w:rPr>
        <w:t>ледует максимально использовать возможности существующих структур и центров по сотрудничеству правоохранительных органов, например в таких областях, как обмен оперативными данными уголовно-правового характера и координация многосторонних операций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D20504">
      <w:pPr>
        <w:framePr w:w="10890" w:h="1704" w:hSpace="180" w:wrap="around" w:vAnchor="text" w:hAnchor="page" w:x="674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9"/>
    </w:p>
    <w:p w:rsidR="00955E9A" w:rsidRPr="00C91E92" w:rsidRDefault="00955E9A" w:rsidP="00955E9A">
      <w:pPr>
        <w:rPr>
          <w:b/>
          <w:lang w:val="ru-RU"/>
        </w:rPr>
      </w:pPr>
    </w:p>
    <w:p w:rsidR="00877180" w:rsidRPr="00C91E92" w:rsidRDefault="00877180" w:rsidP="00955E9A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955E9A" w:rsidRPr="00C91E92" w:rsidRDefault="00894F0F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55483A" w:rsidRPr="00C91E92">
              <w:rPr>
                <w:b/>
                <w:bCs/>
                <w:lang w:val="ru-RU"/>
              </w:rPr>
              <w:t>1</w:t>
            </w:r>
            <w:r w:rsidR="00A95C41">
              <w:rPr>
                <w:b/>
                <w:bCs/>
                <w:lang w:val="ru-RU"/>
              </w:rPr>
              <w:t>1</w:t>
            </w:r>
          </w:p>
        </w:tc>
      </w:tr>
    </w:tbl>
    <w:p w:rsidR="00955E9A" w:rsidRPr="00C91E92" w:rsidRDefault="00E063C7" w:rsidP="00A95C41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55483A" w:rsidRPr="00C91E92">
        <w:rPr>
          <w:lang w:val="ru-RU"/>
        </w:rPr>
        <w:t xml:space="preserve">Правительствам </w:t>
      </w:r>
      <w:r w:rsidR="00A95C41" w:rsidRPr="00A95C41">
        <w:rPr>
          <w:lang w:val="ru-RU"/>
        </w:rPr>
        <w:t xml:space="preserve">следует рассмотреть вопрос об использовании текущих усилий для укрепления двустороннего и регионального сотрудничества, например усилий, прилагаемых в рамках пограничных пунктов связи, Объединенной группы планирования,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(ЦАРИКЦ), Центра информации по уголовным делам для борьбы с наркотиками Совета сотрудничества стран Залива, Совета министров внутренних дел арабских стран, Программы по контролю за контейнерными перевозками, Глобального проекта по борьбе с преступностью на море, Проекта по обеспечению связи между аэропортами (ЭЙРКОП) и других текущих программ и инициатив УНП ООН, а также инициатив и возможностей других региональных и международных организаций, включая глобальную систему полицейской связи </w:t>
      </w:r>
      <w:r w:rsidR="00A95C41" w:rsidRPr="00A95C41">
        <w:t>I</w:t>
      </w:r>
      <w:r w:rsidR="00A95C41" w:rsidRPr="00A95C41">
        <w:rPr>
          <w:lang w:val="ru-RU"/>
        </w:rPr>
        <w:t>-24/7 Международной организации уголовной полиции (Интерпол) и систему Коммуникационной платформы Сети по обеспечению соблюдения таможенных правил Всемирной таможенной организации</w:t>
      </w:r>
      <w:r w:rsidR="0024037D"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B75828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20"/>
    </w:p>
    <w:p w:rsidR="0055483A" w:rsidRPr="00C91E92" w:rsidRDefault="0055483A" w:rsidP="0055483A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 w:rsidR="00A95C41">
              <w:rPr>
                <w:b/>
                <w:bCs/>
                <w:lang w:val="ru-RU"/>
              </w:rPr>
              <w:t>2</w:t>
            </w:r>
          </w:p>
        </w:tc>
      </w:tr>
    </w:tbl>
    <w:p w:rsidR="0055483A" w:rsidRPr="00C91E92" w:rsidRDefault="0055483A" w:rsidP="00A95C41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A95C41">
        <w:rPr>
          <w:lang w:val="ru-RU"/>
        </w:rPr>
        <w:t>П</w:t>
      </w:r>
      <w:r w:rsidR="00A95C41" w:rsidRPr="00A95C41">
        <w:rPr>
          <w:lang w:val="ru-RU"/>
        </w:rPr>
        <w:t>равительствам, а также международным и региональным организациям следует рассмотреть вопрос об оказании более широкой поддержки, включая предоставление технической помощи, оборудования и подготовку кадров, а также обмен информацией, странам «передового края», а именно странам, расположенным вблизи районов культивирования и производства наркотиков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55483A" w:rsidRPr="00C91E92" w:rsidRDefault="0055483A" w:rsidP="0055483A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C02550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Вопрос IV</w:t>
            </w:r>
          </w:p>
        </w:tc>
      </w:tr>
      <w:tr w:rsidR="0055483A" w:rsidRPr="00B75828" w:rsidTr="00C02550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55483A" w:rsidRPr="00DA0DB0" w:rsidRDefault="00DA0DB0" w:rsidP="00DA0DB0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DA0DB0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Профилактика потребления наркотиков с уделением особого внимания детям, молодежи, семьям и системе образования</w:t>
            </w:r>
          </w:p>
        </w:tc>
      </w:tr>
      <w:tr w:rsidR="0055483A" w:rsidRPr="00C91E92" w:rsidTr="00C02550">
        <w:trPr>
          <w:trHeight w:val="567"/>
        </w:trPr>
        <w:tc>
          <w:tcPr>
            <w:tcW w:w="10800" w:type="dxa"/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 w:rsidR="00DA0DB0">
              <w:rPr>
                <w:b/>
                <w:bCs/>
                <w:lang w:val="ru-RU"/>
              </w:rPr>
              <w:t>3</w:t>
            </w:r>
          </w:p>
        </w:tc>
      </w:tr>
    </w:tbl>
    <w:p w:rsidR="0055483A" w:rsidRPr="00B75828" w:rsidRDefault="0055483A" w:rsidP="00DA0DB0">
      <w:pPr>
        <w:framePr w:w="10892" w:h="1004" w:hSpace="181" w:wrap="around" w:vAnchor="text" w:hAnchor="page" w:x="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DA0DB0">
        <w:rPr>
          <w:lang w:val="ru-RU"/>
        </w:rPr>
        <w:t>С</w:t>
      </w:r>
      <w:r w:rsidR="00DA0DB0" w:rsidRPr="00DA0DB0">
        <w:rPr>
          <w:lang w:val="ru-RU"/>
        </w:rPr>
        <w:t>ледует рекомендовать правительствам руководствоваться ориентированным на охрану здоровья подходом, который носит сбалансированный и всеобъемлющий характер применительно к контролю над наркотиками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B75828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B75828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55483A" w:rsidRPr="00C91E92" w:rsidRDefault="0055483A" w:rsidP="0055483A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55483A" w:rsidRPr="00C91E92" w:rsidRDefault="0055483A" w:rsidP="000A1CFD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 w:rsidR="00DA0DB0">
              <w:rPr>
                <w:b/>
                <w:bCs/>
                <w:lang w:val="ru-RU"/>
              </w:rPr>
              <w:t>4</w:t>
            </w:r>
          </w:p>
        </w:tc>
      </w:tr>
    </w:tbl>
    <w:p w:rsidR="0055483A" w:rsidRPr="00C91E92" w:rsidRDefault="0055483A" w:rsidP="00DA0DB0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DA0DB0">
        <w:rPr>
          <w:lang w:val="ru-RU"/>
        </w:rPr>
        <w:t>С</w:t>
      </w:r>
      <w:r w:rsidR="00DA0DB0" w:rsidRPr="00DA0DB0">
        <w:rPr>
          <w:lang w:val="ru-RU"/>
        </w:rPr>
        <w:t>ледует рекомендовать правительствам использовать Международные стандарты по профилактике употребления наркотиков в качестве основы для критического рассмотрения национальных стратегий в сфере профилактики в соответствии с итоговым документом тридцатой специальной сессии Генеральной Ассамблеи и задачей 3.5 Целей в области устойчивого развития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55483A" w:rsidRPr="00C91E92" w:rsidRDefault="0055483A" w:rsidP="0055483A">
      <w:pPr>
        <w:rPr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55483A" w:rsidRPr="00C91E92" w:rsidRDefault="0055483A" w:rsidP="000A1CFD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 w:rsidR="00DA0DB0">
              <w:rPr>
                <w:b/>
                <w:bCs/>
                <w:lang w:val="ru-RU"/>
              </w:rPr>
              <w:t>5</w:t>
            </w:r>
          </w:p>
        </w:tc>
      </w:tr>
    </w:tbl>
    <w:p w:rsidR="0055483A" w:rsidRPr="00C91E92" w:rsidRDefault="0055483A" w:rsidP="00DA0DB0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DA0DB0">
        <w:rPr>
          <w:lang w:val="ru-RU"/>
        </w:rPr>
        <w:t>С</w:t>
      </w:r>
      <w:r w:rsidR="00DA0DB0" w:rsidRPr="00DA0DB0">
        <w:rPr>
          <w:lang w:val="ru-RU"/>
        </w:rPr>
        <w:t>ледует рекомендовать правительствам руководствоваться в своих программах профилактики наркопотребления среди молодежи научно обоснованным подходом и документально отражать эффективность или экономическую целесообразность этих национальных программ</w:t>
      </w:r>
      <w:r w:rsidR="000A1CFD"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B75828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4002FA" w:rsidRDefault="004002FA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0DB0" w:rsidRPr="00C91E92" w:rsidTr="00914995">
        <w:trPr>
          <w:trHeight w:val="567"/>
        </w:trPr>
        <w:tc>
          <w:tcPr>
            <w:tcW w:w="10800" w:type="dxa"/>
            <w:vAlign w:val="center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>
              <w:rPr>
                <w:b/>
                <w:bCs/>
                <w:lang w:val="ru-RU"/>
              </w:rPr>
              <w:t>6</w:t>
            </w:r>
          </w:p>
        </w:tc>
      </w:tr>
    </w:tbl>
    <w:p w:rsidR="00DA0DB0" w:rsidRPr="00C91E92" w:rsidRDefault="00DA0DB0" w:rsidP="00DA0DB0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>
        <w:rPr>
          <w:lang w:val="ru-RU"/>
        </w:rPr>
        <w:t>П</w:t>
      </w:r>
      <w:r w:rsidRPr="00DA0DB0">
        <w:rPr>
          <w:lang w:val="ru-RU"/>
        </w:rPr>
        <w:t>равительствам следует рассмотреть возможность расширения знаний и возможностей учителей и других соответствующих специалистов в области профилактики, особенно в отношении населения, относящегося к группам высокого риска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0DB0" w:rsidRPr="00B75828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DA0DB0" w:rsidRPr="00C91E92" w:rsidRDefault="00DA0DB0" w:rsidP="0091499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DA0DB0" w:rsidRPr="00B75828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DA0DB0" w:rsidRPr="00C91E92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DA0DB0" w:rsidRPr="00C91E92" w:rsidRDefault="00DA0DB0" w:rsidP="00DA0DB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DA0DB0" w:rsidRPr="00C91E92" w:rsidRDefault="00DA0DB0" w:rsidP="00DA0DB0">
      <w:pPr>
        <w:rPr>
          <w:lang w:val="ru-RU"/>
        </w:rPr>
      </w:pPr>
    </w:p>
    <w:p w:rsidR="00DA0DB0" w:rsidRPr="00C91E92" w:rsidRDefault="00DA0DB0" w:rsidP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p w:rsidR="00DA0DB0" w:rsidRDefault="00DA0DB0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0DB0" w:rsidRPr="00C91E92" w:rsidTr="00914995">
        <w:trPr>
          <w:trHeight w:val="567"/>
        </w:trPr>
        <w:tc>
          <w:tcPr>
            <w:tcW w:w="10800" w:type="dxa"/>
            <w:vAlign w:val="center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>
              <w:rPr>
                <w:b/>
                <w:bCs/>
                <w:lang w:val="ru-RU"/>
              </w:rPr>
              <w:t>7</w:t>
            </w:r>
          </w:p>
        </w:tc>
      </w:tr>
    </w:tbl>
    <w:p w:rsidR="00DA0DB0" w:rsidRPr="00C91E92" w:rsidRDefault="00DA0DB0" w:rsidP="00DA0DB0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>
        <w:rPr>
          <w:lang w:val="ru-RU"/>
        </w:rPr>
        <w:t>П</w:t>
      </w:r>
      <w:r w:rsidRPr="00DA0DB0">
        <w:rPr>
          <w:lang w:val="ru-RU"/>
        </w:rPr>
        <w:t>равительствам следует рекомендовать активизировать сотрудничество между образовательным и правоохранительным секторами и сектором здравоохранения и другими соответствующими заинтересованными сторонами в целях повышения эффективности усилий по профилактике употребления наркотиков и сокращению спроса на них.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0DB0" w:rsidRPr="00B75828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DA0DB0" w:rsidRPr="00C91E92" w:rsidRDefault="00DA0DB0" w:rsidP="0091499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513A07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DA0DB0" w:rsidRPr="00B75828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DA0DB0" w:rsidRPr="00C91E92" w:rsidTr="00914995">
        <w:tc>
          <w:tcPr>
            <w:tcW w:w="11016" w:type="dxa"/>
          </w:tcPr>
          <w:p w:rsidR="00DA0DB0" w:rsidRPr="00C91E92" w:rsidRDefault="00DA0DB0" w:rsidP="00914995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DA0DB0" w:rsidRPr="00C91E92" w:rsidRDefault="00DA0DB0" w:rsidP="00DA0DB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DA0DB0" w:rsidRPr="00C91E92" w:rsidRDefault="00DA0DB0" w:rsidP="00DA0DB0">
      <w:pPr>
        <w:rPr>
          <w:lang w:val="ru-RU"/>
        </w:rPr>
      </w:pPr>
    </w:p>
    <w:p w:rsidR="00DA0DB0" w:rsidRPr="00C91E92" w:rsidRDefault="00DA0DB0" w:rsidP="00DA0DB0">
      <w:pPr>
        <w:rPr>
          <w:lang w:val="ru-RU"/>
        </w:rPr>
      </w:pPr>
    </w:p>
    <w:p w:rsidR="00DA0DB0" w:rsidRPr="00C91E92" w:rsidRDefault="00DA0DB0">
      <w:pPr>
        <w:rPr>
          <w:lang w:val="ru-RU"/>
        </w:rPr>
      </w:pPr>
    </w:p>
    <w:sectPr w:rsidR="00DA0DB0" w:rsidRPr="00C91E92" w:rsidSect="009D1DF9"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54" w:rsidRDefault="00CC6B54" w:rsidP="00F36455">
      <w:r>
        <w:separator/>
      </w:r>
    </w:p>
  </w:endnote>
  <w:endnote w:type="continuationSeparator" w:id="0">
    <w:p w:rsidR="00CC6B54" w:rsidRDefault="00CC6B54" w:rsidP="00F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25"/>
      <w:gridCol w:w="5846"/>
    </w:tblGrid>
    <w:tr w:rsidR="009D1DF9" w:rsidRPr="009D1DF9" w:rsidTr="009D1DF9">
      <w:tc>
        <w:tcPr>
          <w:tcW w:w="5125" w:type="dxa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rPr>
              <w:b/>
              <w:bCs/>
              <w:noProof/>
              <w:sz w:val="20"/>
              <w:szCs w:val="20"/>
              <w:lang w:eastAsia="en-US"/>
            </w:rPr>
          </w:pPr>
        </w:p>
      </w:tc>
      <w:tc>
        <w:tcPr>
          <w:tcW w:w="5846" w:type="dxa"/>
          <w:vMerge w:val="restart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jc w:val="right"/>
            <w:rPr>
              <w:b/>
              <w:bCs/>
              <w:noProof/>
              <w:sz w:val="17"/>
              <w:szCs w:val="20"/>
              <w:lang w:eastAsia="en-US"/>
            </w:rPr>
          </w:pPr>
        </w:p>
      </w:tc>
    </w:tr>
    <w:tr w:rsidR="009D1DF9" w:rsidRPr="009D1DF9" w:rsidTr="009D1DF9">
      <w:tc>
        <w:tcPr>
          <w:tcW w:w="5125" w:type="dxa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hAnsi="Barcode 3 of 9 by request"/>
              <w:b/>
              <w:bCs/>
              <w:iCs/>
              <w:noProof/>
              <w:spacing w:val="4"/>
              <w:sz w:val="20"/>
              <w:szCs w:val="20"/>
              <w:lang w:eastAsia="en-US"/>
            </w:rPr>
          </w:pPr>
        </w:p>
      </w:tc>
      <w:tc>
        <w:tcPr>
          <w:tcW w:w="5846" w:type="dxa"/>
          <w:vMerge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rPr>
              <w:b/>
              <w:bCs/>
              <w:noProof/>
              <w:sz w:val="17"/>
              <w:szCs w:val="20"/>
              <w:lang w:eastAsia="en-US"/>
            </w:rPr>
          </w:pPr>
        </w:p>
      </w:tc>
    </w:tr>
  </w:tbl>
  <w:p w:rsidR="00F36455" w:rsidRPr="00265061" w:rsidRDefault="00F36455" w:rsidP="00C6590F">
    <w:pPr>
      <w:pStyle w:val="Footer"/>
      <w:rPr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4428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DF9" w:rsidRPr="00C6590F" w:rsidRDefault="009D1DF9">
        <w:pPr>
          <w:pStyle w:val="Footer"/>
          <w:jc w:val="right"/>
          <w:rPr>
            <w:sz w:val="20"/>
            <w:szCs w:val="20"/>
          </w:rPr>
        </w:pPr>
        <w:r w:rsidRPr="00C6590F">
          <w:rPr>
            <w:sz w:val="20"/>
            <w:szCs w:val="20"/>
          </w:rPr>
          <w:fldChar w:fldCharType="begin"/>
        </w:r>
        <w:r w:rsidRPr="00C6590F">
          <w:rPr>
            <w:sz w:val="20"/>
            <w:szCs w:val="20"/>
          </w:rPr>
          <w:instrText xml:space="preserve"> PAGE   \* MERGEFORMAT </w:instrText>
        </w:r>
        <w:r w:rsidRPr="00C6590F">
          <w:rPr>
            <w:sz w:val="20"/>
            <w:szCs w:val="20"/>
          </w:rPr>
          <w:fldChar w:fldCharType="separate"/>
        </w:r>
        <w:r w:rsidR="008E6D52">
          <w:rPr>
            <w:noProof/>
            <w:sz w:val="20"/>
            <w:szCs w:val="20"/>
          </w:rPr>
          <w:t>2</w:t>
        </w:r>
        <w:r w:rsidRPr="00C6590F">
          <w:rPr>
            <w:noProof/>
            <w:sz w:val="20"/>
            <w:szCs w:val="20"/>
          </w:rPr>
          <w:fldChar w:fldCharType="end"/>
        </w:r>
      </w:p>
    </w:sdtContent>
  </w:sdt>
  <w:p w:rsidR="009D1DF9" w:rsidRPr="00C6590F" w:rsidRDefault="009D1DF9" w:rsidP="00C659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54" w:rsidRDefault="00CC6B54" w:rsidP="00F36455">
      <w:r>
        <w:separator/>
      </w:r>
    </w:p>
  </w:footnote>
  <w:footnote w:type="continuationSeparator" w:id="0">
    <w:p w:rsidR="00CC6B54" w:rsidRDefault="00CC6B54" w:rsidP="00F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169"/>
    <w:multiLevelType w:val="hybridMultilevel"/>
    <w:tmpl w:val="E82EBDDC"/>
    <w:lvl w:ilvl="0" w:tplc="C868F34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840"/>
    <w:multiLevelType w:val="hybridMultilevel"/>
    <w:tmpl w:val="EA2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2EC"/>
    <w:multiLevelType w:val="hybridMultilevel"/>
    <w:tmpl w:val="46B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12"/>
    <w:rsid w:val="00066179"/>
    <w:rsid w:val="000A0C76"/>
    <w:rsid w:val="000A1CFD"/>
    <w:rsid w:val="000D7F55"/>
    <w:rsid w:val="0010359E"/>
    <w:rsid w:val="001B7914"/>
    <w:rsid w:val="001C54D5"/>
    <w:rsid w:val="001E349E"/>
    <w:rsid w:val="0024037D"/>
    <w:rsid w:val="00265061"/>
    <w:rsid w:val="00280D62"/>
    <w:rsid w:val="0028481A"/>
    <w:rsid w:val="00293548"/>
    <w:rsid w:val="002972FC"/>
    <w:rsid w:val="003050F9"/>
    <w:rsid w:val="00331D15"/>
    <w:rsid w:val="00380978"/>
    <w:rsid w:val="003B7021"/>
    <w:rsid w:val="003D6707"/>
    <w:rsid w:val="003E0E66"/>
    <w:rsid w:val="003E6972"/>
    <w:rsid w:val="003F7954"/>
    <w:rsid w:val="004002FA"/>
    <w:rsid w:val="00436808"/>
    <w:rsid w:val="00485C82"/>
    <w:rsid w:val="004C4C56"/>
    <w:rsid w:val="004D38F7"/>
    <w:rsid w:val="004F5B4A"/>
    <w:rsid w:val="005436A0"/>
    <w:rsid w:val="0055483A"/>
    <w:rsid w:val="00561749"/>
    <w:rsid w:val="005B7CDC"/>
    <w:rsid w:val="005F7EC6"/>
    <w:rsid w:val="00647C97"/>
    <w:rsid w:val="006737C8"/>
    <w:rsid w:val="00720600"/>
    <w:rsid w:val="00723925"/>
    <w:rsid w:val="00730028"/>
    <w:rsid w:val="00782AE3"/>
    <w:rsid w:val="007B022D"/>
    <w:rsid w:val="007D0EE8"/>
    <w:rsid w:val="00800349"/>
    <w:rsid w:val="008249DA"/>
    <w:rsid w:val="00877180"/>
    <w:rsid w:val="00894F0F"/>
    <w:rsid w:val="008A744B"/>
    <w:rsid w:val="008E6D52"/>
    <w:rsid w:val="00955E9A"/>
    <w:rsid w:val="00997F3B"/>
    <w:rsid w:val="009D1DF9"/>
    <w:rsid w:val="009D63D1"/>
    <w:rsid w:val="00A16913"/>
    <w:rsid w:val="00A24EC7"/>
    <w:rsid w:val="00A35A02"/>
    <w:rsid w:val="00A37E80"/>
    <w:rsid w:val="00A73E41"/>
    <w:rsid w:val="00A84256"/>
    <w:rsid w:val="00A95C41"/>
    <w:rsid w:val="00B03D71"/>
    <w:rsid w:val="00B2495A"/>
    <w:rsid w:val="00B270BC"/>
    <w:rsid w:val="00B6367B"/>
    <w:rsid w:val="00B75828"/>
    <w:rsid w:val="00BB0354"/>
    <w:rsid w:val="00BB6773"/>
    <w:rsid w:val="00BD0DE6"/>
    <w:rsid w:val="00BD3B90"/>
    <w:rsid w:val="00C02550"/>
    <w:rsid w:val="00C265D6"/>
    <w:rsid w:val="00C26C4C"/>
    <w:rsid w:val="00C57786"/>
    <w:rsid w:val="00C6590F"/>
    <w:rsid w:val="00C8710B"/>
    <w:rsid w:val="00C91E92"/>
    <w:rsid w:val="00CC6B54"/>
    <w:rsid w:val="00D000E2"/>
    <w:rsid w:val="00D20504"/>
    <w:rsid w:val="00D925F4"/>
    <w:rsid w:val="00DA0DB0"/>
    <w:rsid w:val="00DA2C12"/>
    <w:rsid w:val="00DB07F7"/>
    <w:rsid w:val="00E04B90"/>
    <w:rsid w:val="00E063C7"/>
    <w:rsid w:val="00E24738"/>
    <w:rsid w:val="00E44F3F"/>
    <w:rsid w:val="00EB4AFF"/>
    <w:rsid w:val="00F22700"/>
    <w:rsid w:val="00F36455"/>
    <w:rsid w:val="00F42761"/>
    <w:rsid w:val="00FD3F7E"/>
    <w:rsid w:val="00FD6494"/>
    <w:rsid w:val="00FF422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8C5C62A-C16F-4645-87B8-5C64682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0E2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782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imone.rupprich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F84A-C054-410B-BFF1-4C4A5B6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Tatiana Agarkova</cp:lastModifiedBy>
  <cp:revision>2</cp:revision>
  <cp:lastPrinted>2018-06-20T08:46:00Z</cp:lastPrinted>
  <dcterms:created xsi:type="dcterms:W3CDTF">2019-04-01T12:28:00Z</dcterms:created>
  <dcterms:modified xsi:type="dcterms:W3CDTF">2019-04-01T12:28:00Z</dcterms:modified>
</cp:coreProperties>
</file>