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31" w:rsidRPr="00A24AE5" w:rsidRDefault="00634431">
      <w:pPr>
        <w:ind w:firstLine="851"/>
        <w:rPr>
          <w:rFonts w:ascii="Arial" w:hAnsi="Arial" w:cs="Arial"/>
          <w:sz w:val="22"/>
          <w:szCs w:val="22"/>
        </w:rPr>
        <w:sectPr w:rsidR="00634431" w:rsidRPr="00A24AE5">
          <w:headerReference w:type="default" r:id="rId9"/>
          <w:footerReference w:type="default" r:id="rId10"/>
          <w:headerReference w:type="first" r:id="rId11"/>
          <w:footerReference w:type="first" r:id="rId12"/>
          <w:pgSz w:w="11906" w:h="16838" w:code="9"/>
          <w:pgMar w:top="1809" w:right="1247" w:bottom="1440" w:left="1247" w:header="992" w:footer="680" w:gutter="0"/>
          <w:cols w:space="708"/>
          <w:docGrid w:linePitch="360"/>
        </w:sectPr>
      </w:pPr>
    </w:p>
    <w:p w:rsidR="00634431" w:rsidRPr="00A24AE5" w:rsidRDefault="00A24AE5" w:rsidP="00C9294E">
      <w:pPr>
        <w:ind w:left="851"/>
        <w:rPr>
          <w:rFonts w:ascii="Arial" w:hAnsi="Arial" w:cs="Arial"/>
          <w:b/>
          <w:sz w:val="22"/>
          <w:szCs w:val="22"/>
        </w:rPr>
      </w:pPr>
      <w:r w:rsidRPr="00A24AE5">
        <w:rPr>
          <w:rFonts w:ascii="Arial" w:hAnsi="Arial" w:cs="Arial"/>
          <w:b/>
          <w:sz w:val="22"/>
          <w:szCs w:val="22"/>
        </w:rPr>
        <w:lastRenderedPageBreak/>
        <w:t>THE JOINT GLOBAL PROGRAM (</w:t>
      </w:r>
      <w:r w:rsidR="00A902E6" w:rsidRPr="00A24AE5">
        <w:rPr>
          <w:rFonts w:ascii="Arial" w:hAnsi="Arial" w:cs="Arial"/>
          <w:b/>
          <w:sz w:val="22"/>
          <w:szCs w:val="22"/>
        </w:rPr>
        <w:t>GLOK67</w:t>
      </w:r>
      <w:r w:rsidRPr="00A24AE5">
        <w:rPr>
          <w:rFonts w:ascii="Arial" w:hAnsi="Arial" w:cs="Arial"/>
          <w:b/>
          <w:sz w:val="22"/>
          <w:szCs w:val="22"/>
        </w:rPr>
        <w:t>):</w:t>
      </w:r>
      <w:r w:rsidR="00A902E6" w:rsidRPr="00A24AE5">
        <w:rPr>
          <w:rFonts w:ascii="Arial" w:hAnsi="Arial" w:cs="Arial"/>
          <w:b/>
          <w:sz w:val="22"/>
          <w:szCs w:val="22"/>
        </w:rPr>
        <w:t xml:space="preserve"> ACCESS TO CONTRO</w:t>
      </w:r>
      <w:r w:rsidR="00C9294E">
        <w:rPr>
          <w:rFonts w:ascii="Arial" w:hAnsi="Arial" w:cs="Arial"/>
          <w:b/>
          <w:sz w:val="22"/>
          <w:szCs w:val="22"/>
        </w:rPr>
        <w:t>LLED DRUGS FOR MEDICAL PURPOSES, WHILE PREVENTING DIVERSION AND ABUSE</w:t>
      </w:r>
    </w:p>
    <w:p w:rsidR="00634431" w:rsidRDefault="00634431" w:rsidP="005A5291"/>
    <w:p w:rsidR="00F92BA4" w:rsidRDefault="00F92BA4" w:rsidP="00F20C5D">
      <w:pPr>
        <w:jc w:val="both"/>
        <w:rPr>
          <w:rFonts w:ascii="Arial" w:hAnsi="Arial" w:cs="Arial"/>
          <w:sz w:val="20"/>
          <w:szCs w:val="20"/>
        </w:rPr>
        <w:sectPr w:rsidR="00F92BA4">
          <w:headerReference w:type="default" r:id="rId13"/>
          <w:type w:val="continuous"/>
          <w:pgSz w:w="11906" w:h="16838" w:code="9"/>
          <w:pgMar w:top="1809" w:right="1247" w:bottom="1440" w:left="1247" w:header="992" w:footer="680" w:gutter="0"/>
          <w:cols w:space="708"/>
          <w:docGrid w:linePitch="360"/>
        </w:sectPr>
      </w:pPr>
    </w:p>
    <w:p w:rsidR="001D00AA" w:rsidRDefault="001D00AA" w:rsidP="00F20C5D">
      <w:pPr>
        <w:jc w:val="both"/>
        <w:rPr>
          <w:rFonts w:ascii="Arial" w:hAnsi="Arial" w:cs="Arial"/>
          <w:sz w:val="20"/>
          <w:szCs w:val="20"/>
        </w:rPr>
      </w:pPr>
    </w:p>
    <w:p w:rsidR="00F20C5D" w:rsidRDefault="00F20C5D" w:rsidP="00F20C5D">
      <w:pPr>
        <w:jc w:val="both"/>
        <w:rPr>
          <w:rFonts w:ascii="Arial" w:hAnsi="Arial" w:cs="Arial"/>
          <w:sz w:val="20"/>
          <w:szCs w:val="20"/>
        </w:rPr>
      </w:pPr>
      <w:r w:rsidRPr="00532F29">
        <w:rPr>
          <w:rFonts w:ascii="Arial" w:hAnsi="Arial" w:cs="Arial"/>
          <w:sz w:val="20"/>
          <w:szCs w:val="20"/>
        </w:rPr>
        <w:t xml:space="preserve">The Joint Global Program </w:t>
      </w:r>
      <w:r w:rsidRPr="00532F29">
        <w:rPr>
          <w:rFonts w:ascii="Arial" w:hAnsi="Arial" w:cs="Arial"/>
          <w:b/>
          <w:sz w:val="20"/>
          <w:szCs w:val="20"/>
        </w:rPr>
        <w:t>(GLOK67)</w:t>
      </w:r>
      <w:r w:rsidRPr="00532F29">
        <w:rPr>
          <w:rFonts w:ascii="Arial" w:hAnsi="Arial" w:cs="Arial"/>
          <w:sz w:val="20"/>
          <w:szCs w:val="20"/>
        </w:rPr>
        <w:t xml:space="preserve"> is a partnership between the United Nations Office on Drugs and Crime (UNODC), World Health Organization (WHO) and the Union for International Cancer Control (UICC) with the overall objective of leading a coordinated worldwide response to improving access </w:t>
      </w:r>
      <w:r w:rsidR="00D324BC">
        <w:rPr>
          <w:rFonts w:ascii="Arial" w:hAnsi="Arial" w:cs="Arial"/>
          <w:sz w:val="20"/>
          <w:szCs w:val="20"/>
        </w:rPr>
        <w:t>t</w:t>
      </w:r>
      <w:r w:rsidRPr="00532F29">
        <w:rPr>
          <w:rFonts w:ascii="Arial" w:hAnsi="Arial" w:cs="Arial"/>
          <w:sz w:val="20"/>
          <w:szCs w:val="20"/>
        </w:rPr>
        <w:t>o controlled drugs for medical purposes, while controlling for abuse and diversion, therefore increasing the number of patients globally receiving appropriate treatment for conditions requiring the use of such medication.</w:t>
      </w:r>
      <w:r>
        <w:rPr>
          <w:rFonts w:ascii="Arial" w:hAnsi="Arial" w:cs="Arial"/>
          <w:sz w:val="20"/>
          <w:szCs w:val="20"/>
        </w:rPr>
        <w:t xml:space="preserve"> </w:t>
      </w:r>
      <w:r w:rsidRPr="00532F29">
        <w:rPr>
          <w:rFonts w:ascii="Arial" w:hAnsi="Arial" w:cs="Arial"/>
          <w:sz w:val="20"/>
          <w:szCs w:val="20"/>
        </w:rPr>
        <w:t xml:space="preserve">Given that around 5.5 billion people still have limited or no access to medicines containing narcotic drugs, such as codeine or morphine, leaving 75 per cent of the world population without access to proper pain relief treatment. </w:t>
      </w:r>
    </w:p>
    <w:p w:rsidR="00114C4F" w:rsidRDefault="00114C4F" w:rsidP="00F20C5D">
      <w:pPr>
        <w:jc w:val="both"/>
        <w:rPr>
          <w:rFonts w:ascii="Arial" w:hAnsi="Arial" w:cs="Arial"/>
          <w:sz w:val="20"/>
          <w:szCs w:val="20"/>
        </w:rPr>
      </w:pPr>
    </w:p>
    <w:p w:rsidR="00F20C5D" w:rsidRDefault="00FA4CCB" w:rsidP="005A5291">
      <w:pPr>
        <w:jc w:val="center"/>
        <w:rPr>
          <w:rFonts w:ascii="Arial" w:hAnsi="Arial" w:cs="Arial"/>
          <w:sz w:val="20"/>
          <w:szCs w:val="20"/>
        </w:rPr>
      </w:pPr>
      <w:r>
        <w:rPr>
          <w:noProof/>
          <w:lang w:eastAsia="en-GB"/>
        </w:rPr>
        <w:drawing>
          <wp:inline distT="0" distB="0" distL="0" distR="0" wp14:anchorId="5C52A59E" wp14:editId="03BCB86D">
            <wp:extent cx="1313335" cy="2497814"/>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314235" cy="2499525"/>
                    </a:xfrm>
                    <a:prstGeom prst="rect">
                      <a:avLst/>
                    </a:prstGeom>
                  </pic:spPr>
                </pic:pic>
              </a:graphicData>
            </a:graphic>
          </wp:inline>
        </w:drawing>
      </w:r>
    </w:p>
    <w:p w:rsidR="005A5291" w:rsidRDefault="005A5291" w:rsidP="00F20C5D">
      <w:pPr>
        <w:jc w:val="both"/>
        <w:rPr>
          <w:rFonts w:ascii="Arial" w:hAnsi="Arial" w:cs="Arial"/>
          <w:sz w:val="16"/>
          <w:szCs w:val="16"/>
        </w:rPr>
      </w:pPr>
    </w:p>
    <w:p w:rsidR="00F20C5D" w:rsidRDefault="00F20C5D" w:rsidP="00F20C5D">
      <w:pPr>
        <w:jc w:val="both"/>
        <w:rPr>
          <w:rFonts w:ascii="Arial" w:hAnsi="Arial" w:cs="Arial"/>
          <w:sz w:val="16"/>
          <w:szCs w:val="16"/>
        </w:rPr>
      </w:pPr>
      <w:r w:rsidRPr="004703E1">
        <w:rPr>
          <w:rFonts w:ascii="Arial" w:hAnsi="Arial" w:cs="Arial"/>
          <w:sz w:val="16"/>
          <w:szCs w:val="16"/>
        </w:rPr>
        <w:t>“Of all the forms of inequality, injustice in health care is the most shocking and inhumane.” (Martin Luther King, Jr.)</w:t>
      </w:r>
    </w:p>
    <w:p w:rsidR="00F20C5D" w:rsidRPr="00B41573" w:rsidRDefault="00F20C5D" w:rsidP="00F20C5D">
      <w:pPr>
        <w:jc w:val="both"/>
        <w:rPr>
          <w:rFonts w:ascii="Arial" w:hAnsi="Arial" w:cs="Arial"/>
          <w:sz w:val="16"/>
          <w:szCs w:val="16"/>
        </w:rPr>
      </w:pPr>
    </w:p>
    <w:p w:rsidR="00A85533" w:rsidRDefault="00A85533" w:rsidP="00F20C5D">
      <w:pPr>
        <w:jc w:val="both"/>
        <w:rPr>
          <w:rFonts w:ascii="Arial" w:hAnsi="Arial" w:cs="Arial"/>
          <w:sz w:val="20"/>
          <w:szCs w:val="20"/>
        </w:rPr>
      </w:pPr>
      <w:r>
        <w:rPr>
          <w:rFonts w:ascii="Arial" w:hAnsi="Arial" w:cs="Arial"/>
          <w:sz w:val="20"/>
          <w:szCs w:val="20"/>
        </w:rPr>
        <w:t>Approximately</w:t>
      </w:r>
      <w:r w:rsidR="00F20C5D" w:rsidRPr="00532F29">
        <w:rPr>
          <w:rFonts w:ascii="Arial" w:hAnsi="Arial" w:cs="Arial"/>
          <w:sz w:val="20"/>
          <w:szCs w:val="20"/>
        </w:rPr>
        <w:t xml:space="preserve"> 92 per cent of morphine used worldwide is consumed in countries in which only 17 per cent of the world population lives: primarily in the United States of America, Canada, Western Eur</w:t>
      </w:r>
      <w:r w:rsidR="00F20C5D">
        <w:rPr>
          <w:rFonts w:ascii="Arial" w:hAnsi="Arial" w:cs="Arial"/>
          <w:sz w:val="20"/>
          <w:szCs w:val="20"/>
        </w:rPr>
        <w:t xml:space="preserve">ope, Australia and New Zealand.  </w:t>
      </w:r>
      <w:r w:rsidR="00F20C5D" w:rsidRPr="004E3B54">
        <w:rPr>
          <w:rFonts w:ascii="Arial" w:hAnsi="Arial" w:cs="Arial"/>
          <w:sz w:val="20"/>
          <w:szCs w:val="20"/>
        </w:rPr>
        <w:t xml:space="preserve">Inadequate awareness and insufficient access to internationally controlled substances seems to be the result of limited training and awareness of health-care professionals, policymakers and the general public (reflected in underuse, fear and overregulation), problems in sourcing, limited resources and inadequate infrastructure. Ensuring access does not mean an increase or result automatically in abuse and diversion, but it is necessary to maintain a balance between </w:t>
      </w:r>
      <w:r w:rsidR="00F20C5D" w:rsidRPr="004E3B54">
        <w:rPr>
          <w:rFonts w:ascii="Arial" w:hAnsi="Arial" w:cs="Arial"/>
          <w:sz w:val="20"/>
          <w:szCs w:val="20"/>
        </w:rPr>
        <w:lastRenderedPageBreak/>
        <w:t xml:space="preserve">control on the one hand, and availability and accessibility on the other hand. </w:t>
      </w:r>
    </w:p>
    <w:p w:rsidR="00A85533" w:rsidRDefault="00A85533" w:rsidP="00F20C5D">
      <w:pPr>
        <w:jc w:val="both"/>
        <w:rPr>
          <w:rFonts w:ascii="Arial" w:hAnsi="Arial" w:cs="Arial"/>
          <w:sz w:val="20"/>
          <w:szCs w:val="20"/>
        </w:rPr>
      </w:pPr>
    </w:p>
    <w:p w:rsidR="00F20C5D" w:rsidRPr="000D0A52" w:rsidRDefault="00F20C5D" w:rsidP="00F20C5D">
      <w:pPr>
        <w:jc w:val="both"/>
        <w:rPr>
          <w:rFonts w:ascii="Arial" w:hAnsi="Arial" w:cs="Arial"/>
          <w:sz w:val="20"/>
          <w:szCs w:val="20"/>
        </w:rPr>
      </w:pPr>
      <w:r w:rsidRPr="004E3B54">
        <w:rPr>
          <w:rFonts w:ascii="Arial" w:hAnsi="Arial" w:cs="Arial"/>
          <w:sz w:val="20"/>
          <w:szCs w:val="20"/>
        </w:rPr>
        <w:t xml:space="preserve">Too many people still suffer or die in pain or do not have access to proper pain relief treatment and to the medications they need. Unnecessary suffering resulting from a lack of appropriate medication due to inaction and excessive administrative requirements is </w:t>
      </w:r>
      <w:r w:rsidRPr="000D0A52">
        <w:rPr>
          <w:rFonts w:ascii="Arial" w:hAnsi="Arial" w:cs="Arial"/>
          <w:sz w:val="20"/>
          <w:szCs w:val="20"/>
        </w:rPr>
        <w:t>a situation that shames us all.</w:t>
      </w:r>
    </w:p>
    <w:p w:rsidR="001D00AA" w:rsidRDefault="001D00AA" w:rsidP="00F20C5D">
      <w:pPr>
        <w:jc w:val="both"/>
        <w:rPr>
          <w:rFonts w:ascii="Arial" w:hAnsi="Arial" w:cs="Arial"/>
          <w:sz w:val="20"/>
          <w:szCs w:val="20"/>
        </w:rPr>
      </w:pPr>
    </w:p>
    <w:p w:rsidR="00F20C5D" w:rsidRDefault="00F20C5D" w:rsidP="00F20C5D">
      <w:pPr>
        <w:jc w:val="both"/>
        <w:rPr>
          <w:rFonts w:ascii="Arial" w:hAnsi="Arial" w:cs="Arial"/>
          <w:sz w:val="20"/>
          <w:szCs w:val="20"/>
        </w:rPr>
      </w:pPr>
      <w:r w:rsidRPr="000D0A52">
        <w:rPr>
          <w:rFonts w:ascii="Arial" w:hAnsi="Arial" w:cs="Arial"/>
          <w:sz w:val="20"/>
          <w:szCs w:val="20"/>
        </w:rPr>
        <w:t xml:space="preserve">The pilot programs, </w:t>
      </w:r>
      <w:r w:rsidR="00F77AC6">
        <w:rPr>
          <w:rFonts w:ascii="Arial" w:hAnsi="Arial" w:cs="Arial"/>
          <w:sz w:val="20"/>
          <w:szCs w:val="20"/>
        </w:rPr>
        <w:t>currently funded by Australia, on increasing</w:t>
      </w:r>
      <w:r w:rsidRPr="000D0A52">
        <w:rPr>
          <w:rFonts w:ascii="Arial" w:hAnsi="Arial" w:cs="Arial"/>
          <w:sz w:val="20"/>
          <w:szCs w:val="20"/>
        </w:rPr>
        <w:t xml:space="preserve"> access to controlled substances in Ghana, and more recently in Timor-Leste, have shown that it is possible to overcome the complex set of barriers to accessing controlled drugs.</w:t>
      </w:r>
    </w:p>
    <w:p w:rsidR="00F20C5D" w:rsidRPr="007B7BB4" w:rsidRDefault="00F20C5D" w:rsidP="00F20C5D">
      <w:pPr>
        <w:jc w:val="both"/>
        <w:rPr>
          <w:rFonts w:ascii="Arial" w:hAnsi="Arial" w:cs="Arial"/>
          <w:sz w:val="20"/>
          <w:szCs w:val="20"/>
        </w:rPr>
      </w:pPr>
    </w:p>
    <w:p w:rsidR="00135ACA" w:rsidRDefault="007A579C" w:rsidP="003E4CC0">
      <w:pPr>
        <w:jc w:val="center"/>
        <w:rPr>
          <w:rFonts w:ascii="Arial" w:hAnsi="Arial" w:cs="Arial"/>
          <w:b/>
          <w:sz w:val="22"/>
          <w:szCs w:val="22"/>
          <w:u w:val="single"/>
        </w:rPr>
      </w:pPr>
      <w:r>
        <w:rPr>
          <w:noProof/>
          <w:lang w:eastAsia="en-GB"/>
        </w:rPr>
        <w:drawing>
          <wp:inline distT="0" distB="0" distL="0" distR="0" wp14:anchorId="18D12E8E" wp14:editId="2BF3BD20">
            <wp:extent cx="2584765" cy="1442327"/>
            <wp:effectExtent l="0" t="0" r="635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591939" cy="1446330"/>
                    </a:xfrm>
                    <a:prstGeom prst="rect">
                      <a:avLst/>
                    </a:prstGeom>
                  </pic:spPr>
                </pic:pic>
              </a:graphicData>
            </a:graphic>
          </wp:inline>
        </w:drawing>
      </w:r>
    </w:p>
    <w:p w:rsidR="00F20C5D" w:rsidRDefault="00F20C5D" w:rsidP="00F20C5D">
      <w:pPr>
        <w:rPr>
          <w:rFonts w:ascii="Arial" w:hAnsi="Arial" w:cs="Arial"/>
          <w:b/>
          <w:sz w:val="22"/>
          <w:szCs w:val="22"/>
          <w:u w:val="single"/>
        </w:rPr>
      </w:pPr>
    </w:p>
    <w:p w:rsidR="000118B4" w:rsidRDefault="000118B4" w:rsidP="00F20C5D">
      <w:pPr>
        <w:rPr>
          <w:rFonts w:ascii="Arial" w:hAnsi="Arial" w:cs="Arial"/>
          <w:b/>
          <w:sz w:val="22"/>
          <w:szCs w:val="22"/>
        </w:rPr>
      </w:pPr>
      <w:r>
        <w:rPr>
          <w:rFonts w:ascii="Arial" w:hAnsi="Arial" w:cs="Arial"/>
          <w:b/>
          <w:sz w:val="22"/>
          <w:szCs w:val="22"/>
          <w:u w:val="single"/>
        </w:rPr>
        <w:t>Timor-Leste</w:t>
      </w:r>
      <w:r>
        <w:rPr>
          <w:rFonts w:ascii="Arial" w:hAnsi="Arial" w:cs="Arial"/>
          <w:b/>
          <w:sz w:val="22"/>
          <w:szCs w:val="22"/>
        </w:rPr>
        <w:tab/>
      </w:r>
      <w:r>
        <w:rPr>
          <w:rFonts w:ascii="Arial" w:hAnsi="Arial" w:cs="Arial"/>
          <w:b/>
          <w:sz w:val="22"/>
          <w:szCs w:val="22"/>
        </w:rPr>
        <w:tab/>
      </w:r>
    </w:p>
    <w:p w:rsidR="000118B4" w:rsidRDefault="000118B4" w:rsidP="00F20C5D">
      <w:pPr>
        <w:rPr>
          <w:rFonts w:ascii="Arial" w:hAnsi="Arial" w:cs="Arial"/>
          <w:b/>
          <w:sz w:val="22"/>
          <w:szCs w:val="22"/>
        </w:rPr>
      </w:pPr>
    </w:p>
    <w:p w:rsidR="00F20C5D" w:rsidRPr="003A0788" w:rsidRDefault="000118B4" w:rsidP="000118B4">
      <w:pPr>
        <w:jc w:val="center"/>
        <w:rPr>
          <w:rFonts w:ascii="Arial" w:hAnsi="Arial" w:cs="Arial"/>
          <w:b/>
          <w:sz w:val="22"/>
          <w:szCs w:val="22"/>
          <w:u w:val="single"/>
        </w:rPr>
      </w:pPr>
      <w:r>
        <w:rPr>
          <w:noProof/>
          <w:lang w:eastAsia="en-GB"/>
        </w:rPr>
        <w:drawing>
          <wp:inline distT="0" distB="0" distL="0" distR="0" wp14:anchorId="0F1D8051" wp14:editId="79D05D44">
            <wp:extent cx="120015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200150" cy="609600"/>
                    </a:xfrm>
                    <a:prstGeom prst="rect">
                      <a:avLst/>
                    </a:prstGeom>
                  </pic:spPr>
                </pic:pic>
              </a:graphicData>
            </a:graphic>
          </wp:inline>
        </w:drawing>
      </w:r>
    </w:p>
    <w:p w:rsidR="00DF2DFA" w:rsidRDefault="00DF2DFA" w:rsidP="00A902E6">
      <w:pPr>
        <w:jc w:val="both"/>
        <w:rPr>
          <w:rFonts w:ascii="Arial" w:hAnsi="Arial" w:cs="Arial"/>
          <w:sz w:val="20"/>
          <w:szCs w:val="20"/>
        </w:rPr>
      </w:pPr>
    </w:p>
    <w:p w:rsidR="00213C66" w:rsidRDefault="000118B4" w:rsidP="000B0955">
      <w:pPr>
        <w:jc w:val="both"/>
        <w:rPr>
          <w:rFonts w:ascii="Arial" w:hAnsi="Arial" w:cs="Arial"/>
          <w:sz w:val="20"/>
          <w:szCs w:val="20"/>
        </w:rPr>
      </w:pPr>
      <w:r>
        <w:rPr>
          <w:rFonts w:ascii="Arial" w:hAnsi="Arial" w:cs="Arial"/>
          <w:sz w:val="20"/>
          <w:szCs w:val="20"/>
        </w:rPr>
        <w:t>The Joint Global Program has begun the initi</w:t>
      </w:r>
      <w:r w:rsidR="008F1EAF">
        <w:rPr>
          <w:rFonts w:ascii="Arial" w:hAnsi="Arial" w:cs="Arial"/>
          <w:sz w:val="20"/>
          <w:szCs w:val="20"/>
        </w:rPr>
        <w:t xml:space="preserve">al phase of work in Timor-Leste.  </w:t>
      </w:r>
      <w:r w:rsidR="00582F02">
        <w:rPr>
          <w:rFonts w:ascii="Arial" w:hAnsi="Arial" w:cs="Arial"/>
          <w:sz w:val="20"/>
          <w:szCs w:val="20"/>
        </w:rPr>
        <w:t xml:space="preserve">Timor-Leste, which is also known as East Timor or the Democratic Republic of Timor-Leste is a relatively new country, gaining independence in 2002.  While Timor faces many challenges such as poverty, poor infrastructure and issues related to literacy, they have two documents that serve as a foundation for the work in the area of increasing access to controlled drugs for medical purposes.  Although the Strategic Development Plan for Timor-Leste and the National Health Sector Strategic Plan do not have a strong focus on this area, they do </w:t>
      </w:r>
      <w:r w:rsidR="00C41516">
        <w:rPr>
          <w:rFonts w:ascii="Arial" w:hAnsi="Arial" w:cs="Arial"/>
          <w:sz w:val="20"/>
          <w:szCs w:val="20"/>
        </w:rPr>
        <w:t xml:space="preserve">delineate health strategies from 2011 through 2030.  It is upon these key documents that the Joint Global Program hopes to </w:t>
      </w:r>
      <w:r w:rsidR="00213C66">
        <w:rPr>
          <w:rFonts w:ascii="Arial" w:hAnsi="Arial" w:cs="Arial"/>
          <w:sz w:val="20"/>
          <w:szCs w:val="20"/>
        </w:rPr>
        <w:t>build a sustainable intervention.</w:t>
      </w:r>
    </w:p>
    <w:p w:rsidR="00213C66" w:rsidRDefault="00213C66" w:rsidP="000B0955">
      <w:pPr>
        <w:jc w:val="both"/>
        <w:rPr>
          <w:rFonts w:ascii="Arial" w:hAnsi="Arial" w:cs="Arial"/>
          <w:sz w:val="20"/>
          <w:szCs w:val="20"/>
        </w:rPr>
      </w:pPr>
    </w:p>
    <w:p w:rsidR="00213C66" w:rsidRDefault="00FA4CCB" w:rsidP="000B0955">
      <w:pPr>
        <w:jc w:val="both"/>
        <w:rPr>
          <w:rFonts w:ascii="Arial" w:hAnsi="Arial" w:cs="Arial"/>
          <w:sz w:val="20"/>
          <w:szCs w:val="20"/>
        </w:rPr>
      </w:pPr>
      <w:r>
        <w:rPr>
          <w:rFonts w:ascii="Arial" w:hAnsi="Arial" w:cs="Arial"/>
          <w:sz w:val="20"/>
          <w:szCs w:val="20"/>
        </w:rPr>
        <w:lastRenderedPageBreak/>
        <w:t>T</w:t>
      </w:r>
      <w:r w:rsidR="00213C66">
        <w:rPr>
          <w:rFonts w:ascii="Arial" w:hAnsi="Arial" w:cs="Arial"/>
          <w:sz w:val="20"/>
          <w:szCs w:val="20"/>
        </w:rPr>
        <w:t xml:space="preserve">here are a number of challenges in implementing healthcare in Timor, </w:t>
      </w:r>
      <w:r>
        <w:rPr>
          <w:rFonts w:ascii="Arial" w:hAnsi="Arial" w:cs="Arial"/>
          <w:sz w:val="20"/>
          <w:szCs w:val="20"/>
        </w:rPr>
        <w:t xml:space="preserve">but </w:t>
      </w:r>
      <w:r w:rsidR="00213C66">
        <w:rPr>
          <w:rFonts w:ascii="Arial" w:hAnsi="Arial" w:cs="Arial"/>
          <w:sz w:val="20"/>
          <w:szCs w:val="20"/>
        </w:rPr>
        <w:t>the government is committed to making sure that all Timorese people have access to affordable healthcare through integrated health services in the community</w:t>
      </w:r>
      <w:r w:rsidR="00CB1BF0">
        <w:rPr>
          <w:rFonts w:ascii="Arial" w:hAnsi="Arial" w:cs="Arial"/>
          <w:sz w:val="20"/>
          <w:szCs w:val="20"/>
        </w:rPr>
        <w:t xml:space="preserve"> (</w:t>
      </w:r>
      <w:proofErr w:type="spellStart"/>
      <w:r w:rsidR="00CB1BF0">
        <w:rPr>
          <w:rFonts w:ascii="Arial" w:hAnsi="Arial" w:cs="Arial"/>
          <w:sz w:val="20"/>
          <w:szCs w:val="20"/>
        </w:rPr>
        <w:t>SISCa</w:t>
      </w:r>
      <w:proofErr w:type="spellEnd"/>
      <w:r w:rsidR="00CB1BF0">
        <w:rPr>
          <w:rFonts w:ascii="Arial" w:hAnsi="Arial" w:cs="Arial"/>
          <w:sz w:val="20"/>
          <w:szCs w:val="20"/>
        </w:rPr>
        <w:t>)</w:t>
      </w:r>
      <w:r w:rsidR="00213C66">
        <w:rPr>
          <w:rFonts w:ascii="Arial" w:hAnsi="Arial" w:cs="Arial"/>
          <w:sz w:val="20"/>
          <w:szCs w:val="20"/>
        </w:rPr>
        <w:t>.  The six areas of focus include:</w:t>
      </w:r>
    </w:p>
    <w:p w:rsidR="00A902E6" w:rsidRDefault="00213C66" w:rsidP="00213C66">
      <w:pPr>
        <w:pStyle w:val="ListParagraph"/>
        <w:numPr>
          <w:ilvl w:val="0"/>
          <w:numId w:val="4"/>
        </w:numPr>
        <w:jc w:val="both"/>
        <w:rPr>
          <w:rFonts w:ascii="Arial" w:hAnsi="Arial" w:cs="Arial"/>
          <w:sz w:val="20"/>
          <w:szCs w:val="20"/>
        </w:rPr>
      </w:pPr>
      <w:r>
        <w:rPr>
          <w:rFonts w:ascii="Arial" w:hAnsi="Arial" w:cs="Arial"/>
          <w:sz w:val="20"/>
          <w:szCs w:val="20"/>
        </w:rPr>
        <w:t>Population registration</w:t>
      </w:r>
    </w:p>
    <w:p w:rsidR="00213C66" w:rsidRDefault="00213C66" w:rsidP="00213C66">
      <w:pPr>
        <w:pStyle w:val="ListParagraph"/>
        <w:numPr>
          <w:ilvl w:val="0"/>
          <w:numId w:val="4"/>
        </w:numPr>
        <w:jc w:val="both"/>
        <w:rPr>
          <w:rFonts w:ascii="Arial" w:hAnsi="Arial" w:cs="Arial"/>
          <w:sz w:val="20"/>
          <w:szCs w:val="20"/>
        </w:rPr>
      </w:pPr>
      <w:r>
        <w:rPr>
          <w:rFonts w:ascii="Arial" w:hAnsi="Arial" w:cs="Arial"/>
          <w:sz w:val="20"/>
          <w:szCs w:val="20"/>
        </w:rPr>
        <w:t>Nutrition assistance</w:t>
      </w:r>
    </w:p>
    <w:p w:rsidR="00213C66" w:rsidRDefault="00213C66" w:rsidP="00213C66">
      <w:pPr>
        <w:pStyle w:val="ListParagraph"/>
        <w:numPr>
          <w:ilvl w:val="0"/>
          <w:numId w:val="4"/>
        </w:numPr>
        <w:jc w:val="both"/>
        <w:rPr>
          <w:rFonts w:ascii="Arial" w:hAnsi="Arial" w:cs="Arial"/>
          <w:sz w:val="20"/>
          <w:szCs w:val="20"/>
        </w:rPr>
      </w:pPr>
      <w:r>
        <w:rPr>
          <w:rFonts w:ascii="Arial" w:hAnsi="Arial" w:cs="Arial"/>
          <w:sz w:val="20"/>
          <w:szCs w:val="20"/>
        </w:rPr>
        <w:t>Maternal and child health</w:t>
      </w:r>
    </w:p>
    <w:p w:rsidR="00213C66" w:rsidRDefault="00213C66" w:rsidP="00213C66">
      <w:pPr>
        <w:pStyle w:val="ListParagraph"/>
        <w:numPr>
          <w:ilvl w:val="0"/>
          <w:numId w:val="4"/>
        </w:numPr>
        <w:jc w:val="both"/>
        <w:rPr>
          <w:rFonts w:ascii="Arial" w:hAnsi="Arial" w:cs="Arial"/>
          <w:sz w:val="20"/>
          <w:szCs w:val="20"/>
        </w:rPr>
      </w:pPr>
      <w:r>
        <w:rPr>
          <w:rFonts w:ascii="Arial" w:hAnsi="Arial" w:cs="Arial"/>
          <w:sz w:val="20"/>
          <w:szCs w:val="20"/>
        </w:rPr>
        <w:t>Personal hygiene and sanitation</w:t>
      </w:r>
    </w:p>
    <w:p w:rsidR="00213C66" w:rsidRDefault="009F6BC2" w:rsidP="00213C66">
      <w:pPr>
        <w:pStyle w:val="ListParagraph"/>
        <w:numPr>
          <w:ilvl w:val="0"/>
          <w:numId w:val="4"/>
        </w:numPr>
        <w:jc w:val="both"/>
        <w:rPr>
          <w:rFonts w:ascii="Arial" w:hAnsi="Arial" w:cs="Arial"/>
          <w:sz w:val="20"/>
          <w:szCs w:val="20"/>
        </w:rPr>
      </w:pPr>
      <w:r>
        <w:rPr>
          <w:rFonts w:ascii="Arial" w:hAnsi="Arial" w:cs="Arial"/>
          <w:sz w:val="20"/>
          <w:szCs w:val="20"/>
        </w:rPr>
        <w:t>Primary health services</w:t>
      </w:r>
    </w:p>
    <w:p w:rsidR="009F6BC2" w:rsidRDefault="009F6BC2" w:rsidP="00213C66">
      <w:pPr>
        <w:pStyle w:val="ListParagraph"/>
        <w:numPr>
          <w:ilvl w:val="0"/>
          <w:numId w:val="4"/>
        </w:numPr>
        <w:jc w:val="both"/>
        <w:rPr>
          <w:rFonts w:ascii="Arial" w:hAnsi="Arial" w:cs="Arial"/>
          <w:sz w:val="20"/>
          <w:szCs w:val="20"/>
        </w:rPr>
      </w:pPr>
      <w:r>
        <w:rPr>
          <w:rFonts w:ascii="Arial" w:hAnsi="Arial" w:cs="Arial"/>
          <w:sz w:val="20"/>
          <w:szCs w:val="20"/>
        </w:rPr>
        <w:t>Health education</w:t>
      </w:r>
    </w:p>
    <w:p w:rsidR="009F6BC2" w:rsidRDefault="009F6BC2" w:rsidP="009F6BC2">
      <w:pPr>
        <w:jc w:val="both"/>
        <w:rPr>
          <w:rFonts w:ascii="Arial" w:hAnsi="Arial" w:cs="Arial"/>
          <w:sz w:val="20"/>
          <w:szCs w:val="20"/>
        </w:rPr>
      </w:pPr>
    </w:p>
    <w:p w:rsidR="00CB1BF0" w:rsidRPr="00CB1BF0" w:rsidRDefault="00CB1BF0" w:rsidP="00CB1BF0">
      <w:pPr>
        <w:jc w:val="both"/>
        <w:rPr>
          <w:rFonts w:ascii="Arial" w:hAnsi="Arial" w:cs="Arial"/>
          <w:sz w:val="20"/>
          <w:szCs w:val="20"/>
        </w:rPr>
      </w:pPr>
      <w:r w:rsidRPr="00CB1BF0">
        <w:rPr>
          <w:rFonts w:ascii="Arial" w:hAnsi="Arial" w:cs="Arial"/>
          <w:sz w:val="20"/>
          <w:szCs w:val="20"/>
        </w:rPr>
        <w:t>The Ministry of Health</w:t>
      </w:r>
      <w:r>
        <w:rPr>
          <w:rFonts w:ascii="Arial" w:hAnsi="Arial" w:cs="Arial"/>
          <w:sz w:val="20"/>
          <w:szCs w:val="20"/>
        </w:rPr>
        <w:t xml:space="preserve">, </w:t>
      </w:r>
      <w:r w:rsidRPr="00CB1BF0">
        <w:rPr>
          <w:rFonts w:ascii="Arial" w:hAnsi="Arial" w:cs="Arial"/>
          <w:sz w:val="20"/>
          <w:szCs w:val="20"/>
        </w:rPr>
        <w:t xml:space="preserve">working together with communities, </w:t>
      </w:r>
      <w:r>
        <w:rPr>
          <w:rFonts w:ascii="Arial" w:hAnsi="Arial" w:cs="Arial"/>
          <w:sz w:val="20"/>
          <w:szCs w:val="20"/>
        </w:rPr>
        <w:t>promotes</w:t>
      </w:r>
      <w:r w:rsidRPr="00CB1BF0">
        <w:rPr>
          <w:rFonts w:ascii="Arial" w:hAnsi="Arial" w:cs="Arial"/>
          <w:sz w:val="20"/>
          <w:szCs w:val="20"/>
        </w:rPr>
        <w:t xml:space="preserve"> </w:t>
      </w:r>
      <w:proofErr w:type="spellStart"/>
      <w:r w:rsidRPr="00CB1BF0">
        <w:rPr>
          <w:rFonts w:ascii="Arial" w:hAnsi="Arial" w:cs="Arial"/>
          <w:sz w:val="20"/>
          <w:szCs w:val="20"/>
        </w:rPr>
        <w:t>SISCa’s</w:t>
      </w:r>
      <w:proofErr w:type="spellEnd"/>
      <w:r w:rsidRPr="00CB1BF0">
        <w:rPr>
          <w:rFonts w:ascii="Arial" w:hAnsi="Arial" w:cs="Arial"/>
          <w:sz w:val="20"/>
          <w:szCs w:val="20"/>
        </w:rPr>
        <w:t xml:space="preserve"> activities with a principle of “</w:t>
      </w:r>
      <w:r w:rsidRPr="00CB1BF0">
        <w:rPr>
          <w:rFonts w:ascii="Arial" w:hAnsi="Arial" w:cs="Arial"/>
          <w:b/>
          <w:bCs/>
          <w:i/>
          <w:iCs/>
          <w:sz w:val="20"/>
          <w:szCs w:val="20"/>
        </w:rPr>
        <w:t>From, With and To the Community</w:t>
      </w:r>
      <w:r w:rsidRPr="00CB1BF0">
        <w:rPr>
          <w:rFonts w:ascii="Arial" w:hAnsi="Arial" w:cs="Arial"/>
          <w:sz w:val="20"/>
          <w:szCs w:val="20"/>
        </w:rPr>
        <w:t>”, which signifies th</w:t>
      </w:r>
      <w:r w:rsidR="007A579C">
        <w:rPr>
          <w:rFonts w:ascii="Arial" w:hAnsi="Arial" w:cs="Arial"/>
          <w:sz w:val="20"/>
          <w:szCs w:val="20"/>
        </w:rPr>
        <w:t>at it is the community members who</w:t>
      </w:r>
      <w:r w:rsidRPr="00CB1BF0">
        <w:rPr>
          <w:rFonts w:ascii="Arial" w:hAnsi="Arial" w:cs="Arial"/>
          <w:sz w:val="20"/>
          <w:szCs w:val="20"/>
        </w:rPr>
        <w:t xml:space="preserve"> </w:t>
      </w:r>
      <w:r w:rsidR="007A579C">
        <w:rPr>
          <w:rFonts w:ascii="Arial" w:hAnsi="Arial" w:cs="Arial"/>
          <w:sz w:val="20"/>
          <w:szCs w:val="20"/>
        </w:rPr>
        <w:t>conduct the activities</w:t>
      </w:r>
      <w:r w:rsidRPr="00CB1BF0">
        <w:rPr>
          <w:rFonts w:ascii="Arial" w:hAnsi="Arial" w:cs="Arial"/>
          <w:sz w:val="20"/>
          <w:szCs w:val="20"/>
        </w:rPr>
        <w:t>, mobilize people</w:t>
      </w:r>
      <w:r w:rsidR="007A579C">
        <w:rPr>
          <w:rFonts w:ascii="Arial" w:hAnsi="Arial" w:cs="Arial"/>
          <w:sz w:val="20"/>
          <w:szCs w:val="20"/>
        </w:rPr>
        <w:t xml:space="preserve"> of all ages, and </w:t>
      </w:r>
      <w:r w:rsidRPr="00CB1BF0">
        <w:rPr>
          <w:rFonts w:ascii="Arial" w:hAnsi="Arial" w:cs="Arial"/>
          <w:sz w:val="20"/>
          <w:szCs w:val="20"/>
        </w:rPr>
        <w:t xml:space="preserve">work side by side to give assistance, protect and improve the state of community health in the country. </w:t>
      </w:r>
    </w:p>
    <w:p w:rsidR="00CB1BF0" w:rsidRDefault="00CB1BF0" w:rsidP="00CB1BF0">
      <w:pPr>
        <w:jc w:val="both"/>
        <w:rPr>
          <w:rFonts w:ascii="Arial" w:hAnsi="Arial" w:cs="Arial"/>
          <w:sz w:val="20"/>
          <w:szCs w:val="20"/>
        </w:rPr>
      </w:pPr>
    </w:p>
    <w:p w:rsidR="00CB1BF0" w:rsidRDefault="00CB1BF0" w:rsidP="00CB1BF0">
      <w:pPr>
        <w:jc w:val="both"/>
        <w:rPr>
          <w:rFonts w:ascii="Arial" w:hAnsi="Arial" w:cs="Arial"/>
          <w:sz w:val="20"/>
          <w:szCs w:val="20"/>
        </w:rPr>
      </w:pPr>
      <w:r>
        <w:rPr>
          <w:rFonts w:ascii="Arial" w:hAnsi="Arial" w:cs="Arial"/>
          <w:sz w:val="20"/>
          <w:szCs w:val="20"/>
        </w:rPr>
        <w:t xml:space="preserve">The focus of </w:t>
      </w:r>
      <w:proofErr w:type="spellStart"/>
      <w:r>
        <w:rPr>
          <w:rFonts w:ascii="Arial" w:hAnsi="Arial" w:cs="Arial"/>
          <w:sz w:val="20"/>
          <w:szCs w:val="20"/>
        </w:rPr>
        <w:t>SISCa</w:t>
      </w:r>
      <w:proofErr w:type="spellEnd"/>
      <w:r>
        <w:rPr>
          <w:rFonts w:ascii="Arial" w:hAnsi="Arial" w:cs="Arial"/>
          <w:sz w:val="20"/>
          <w:szCs w:val="20"/>
        </w:rPr>
        <w:t xml:space="preserve"> is health promotion and health prevention, implementing </w:t>
      </w:r>
      <w:r w:rsidRPr="00CB1BF0">
        <w:rPr>
          <w:rFonts w:ascii="Arial" w:hAnsi="Arial" w:cs="Arial"/>
          <w:sz w:val="20"/>
          <w:szCs w:val="20"/>
        </w:rPr>
        <w:t xml:space="preserve">very basic, simple and </w:t>
      </w:r>
      <w:r>
        <w:rPr>
          <w:rFonts w:ascii="Arial" w:hAnsi="Arial" w:cs="Arial"/>
          <w:sz w:val="20"/>
          <w:szCs w:val="20"/>
        </w:rPr>
        <w:t>inexpensive activities that</w:t>
      </w:r>
      <w:r w:rsidRPr="00CB1BF0">
        <w:rPr>
          <w:rFonts w:ascii="Arial" w:hAnsi="Arial" w:cs="Arial"/>
          <w:sz w:val="20"/>
          <w:szCs w:val="20"/>
        </w:rPr>
        <w:t xml:space="preserve"> </w:t>
      </w:r>
      <w:r>
        <w:rPr>
          <w:rFonts w:ascii="Arial" w:hAnsi="Arial" w:cs="Arial"/>
          <w:sz w:val="20"/>
          <w:szCs w:val="20"/>
        </w:rPr>
        <w:t>can be done in every home,</w:t>
      </w:r>
      <w:r w:rsidRPr="00CB1BF0">
        <w:rPr>
          <w:rFonts w:ascii="Arial" w:hAnsi="Arial" w:cs="Arial"/>
          <w:sz w:val="20"/>
          <w:szCs w:val="20"/>
        </w:rPr>
        <w:t xml:space="preserve"> workplace and </w:t>
      </w:r>
      <w:r>
        <w:rPr>
          <w:rFonts w:ascii="Arial" w:hAnsi="Arial" w:cs="Arial"/>
          <w:sz w:val="20"/>
          <w:szCs w:val="20"/>
        </w:rPr>
        <w:t>community</w:t>
      </w:r>
      <w:r w:rsidR="007A579C">
        <w:rPr>
          <w:rFonts w:ascii="Arial" w:hAnsi="Arial" w:cs="Arial"/>
          <w:sz w:val="20"/>
          <w:szCs w:val="20"/>
        </w:rPr>
        <w:t>. P</w:t>
      </w:r>
      <w:r w:rsidRPr="00CB1BF0">
        <w:rPr>
          <w:rFonts w:ascii="Arial" w:hAnsi="Arial" w:cs="Arial"/>
          <w:sz w:val="20"/>
          <w:szCs w:val="20"/>
        </w:rPr>
        <w:t xml:space="preserve">eople </w:t>
      </w:r>
      <w:r>
        <w:rPr>
          <w:rFonts w:ascii="Arial" w:hAnsi="Arial" w:cs="Arial"/>
          <w:sz w:val="20"/>
          <w:szCs w:val="20"/>
        </w:rPr>
        <w:t>often</w:t>
      </w:r>
      <w:r w:rsidRPr="00CB1BF0">
        <w:rPr>
          <w:rFonts w:ascii="Arial" w:hAnsi="Arial" w:cs="Arial"/>
          <w:sz w:val="20"/>
          <w:szCs w:val="20"/>
        </w:rPr>
        <w:t xml:space="preserve"> put themselves in difficult situations just due to a lack of awareness and knowledge ab</w:t>
      </w:r>
      <w:r>
        <w:rPr>
          <w:rFonts w:ascii="Arial" w:hAnsi="Arial" w:cs="Arial"/>
          <w:sz w:val="20"/>
          <w:szCs w:val="20"/>
        </w:rPr>
        <w:t xml:space="preserve">out how to live a healthy life.  The </w:t>
      </w:r>
      <w:r w:rsidRPr="00CB1BF0">
        <w:rPr>
          <w:rFonts w:ascii="Arial" w:hAnsi="Arial" w:cs="Arial"/>
          <w:sz w:val="20"/>
          <w:szCs w:val="20"/>
        </w:rPr>
        <w:t>Ministry of Health call</w:t>
      </w:r>
      <w:r>
        <w:rPr>
          <w:rFonts w:ascii="Arial" w:hAnsi="Arial" w:cs="Arial"/>
          <w:sz w:val="20"/>
          <w:szCs w:val="20"/>
        </w:rPr>
        <w:t>s</w:t>
      </w:r>
      <w:r w:rsidRPr="00CB1BF0">
        <w:rPr>
          <w:rFonts w:ascii="Arial" w:hAnsi="Arial" w:cs="Arial"/>
          <w:sz w:val="20"/>
          <w:szCs w:val="20"/>
        </w:rPr>
        <w:t xml:space="preserve"> upon all the international and local NGOs who are implementing their own activities in health sector in all districts, to cooperate through the service system organized by Ministry of Health, especially through </w:t>
      </w:r>
      <w:proofErr w:type="spellStart"/>
      <w:r w:rsidRPr="00CB1BF0">
        <w:rPr>
          <w:rFonts w:ascii="Arial" w:hAnsi="Arial" w:cs="Arial"/>
          <w:sz w:val="20"/>
          <w:szCs w:val="20"/>
        </w:rPr>
        <w:t>SISCa</w:t>
      </w:r>
      <w:proofErr w:type="spellEnd"/>
      <w:r w:rsidRPr="00CB1BF0">
        <w:rPr>
          <w:rFonts w:ascii="Arial" w:hAnsi="Arial" w:cs="Arial"/>
          <w:sz w:val="20"/>
          <w:szCs w:val="20"/>
        </w:rPr>
        <w:t xml:space="preserve">. </w:t>
      </w:r>
    </w:p>
    <w:p w:rsidR="00C80C39" w:rsidRPr="00CB1BF0" w:rsidRDefault="00C80C39" w:rsidP="00CB1BF0">
      <w:pPr>
        <w:jc w:val="both"/>
        <w:rPr>
          <w:rFonts w:ascii="Arial" w:hAnsi="Arial" w:cs="Arial"/>
          <w:sz w:val="20"/>
          <w:szCs w:val="20"/>
        </w:rPr>
      </w:pPr>
    </w:p>
    <w:p w:rsidR="00CB1BF0" w:rsidRDefault="00C80C39" w:rsidP="00CB1BF0">
      <w:pPr>
        <w:jc w:val="both"/>
        <w:rPr>
          <w:rFonts w:ascii="Arial" w:hAnsi="Arial" w:cs="Arial"/>
          <w:sz w:val="20"/>
          <w:szCs w:val="20"/>
        </w:rPr>
      </w:pPr>
      <w:r>
        <w:rPr>
          <w:rFonts w:ascii="Arial" w:hAnsi="Arial" w:cs="Arial"/>
          <w:sz w:val="20"/>
          <w:szCs w:val="20"/>
        </w:rPr>
        <w:t>With a focus on building knowledge and capacity, the government leaders</w:t>
      </w:r>
      <w:r w:rsidR="00CB1BF0" w:rsidRPr="00CB1BF0">
        <w:rPr>
          <w:rFonts w:ascii="Arial" w:hAnsi="Arial" w:cs="Arial"/>
          <w:sz w:val="20"/>
          <w:szCs w:val="20"/>
        </w:rPr>
        <w:t xml:space="preserve"> believe that Family Hea</w:t>
      </w:r>
      <w:r>
        <w:rPr>
          <w:rFonts w:ascii="Arial" w:hAnsi="Arial" w:cs="Arial"/>
          <w:sz w:val="20"/>
          <w:szCs w:val="20"/>
        </w:rPr>
        <w:t>lth Promoters (PSF)</w:t>
      </w:r>
      <w:r w:rsidR="00CB1BF0" w:rsidRPr="00CB1BF0">
        <w:rPr>
          <w:rFonts w:ascii="Arial" w:hAnsi="Arial" w:cs="Arial"/>
          <w:sz w:val="20"/>
          <w:szCs w:val="20"/>
        </w:rPr>
        <w:t xml:space="preserve"> can help communities to become healthier</w:t>
      </w:r>
      <w:r w:rsidR="00FA4CCB">
        <w:rPr>
          <w:rFonts w:ascii="Arial" w:hAnsi="Arial" w:cs="Arial"/>
          <w:sz w:val="20"/>
          <w:szCs w:val="20"/>
        </w:rPr>
        <w:t xml:space="preserve">, </w:t>
      </w:r>
      <w:r w:rsidR="00CB1BF0" w:rsidRPr="00CB1BF0">
        <w:rPr>
          <w:rFonts w:ascii="Arial" w:hAnsi="Arial" w:cs="Arial"/>
          <w:sz w:val="20"/>
          <w:szCs w:val="20"/>
        </w:rPr>
        <w:t xml:space="preserve">reduce the morbidity and mortality rates for children and pregnant mothers, increase immunization coverage, </w:t>
      </w:r>
      <w:r w:rsidR="00FA4CCB">
        <w:rPr>
          <w:rFonts w:ascii="Arial" w:hAnsi="Arial" w:cs="Arial"/>
          <w:sz w:val="20"/>
          <w:szCs w:val="20"/>
        </w:rPr>
        <w:t xml:space="preserve">and </w:t>
      </w:r>
      <w:r w:rsidR="00CB1BF0" w:rsidRPr="00CB1BF0">
        <w:rPr>
          <w:rFonts w:ascii="Arial" w:hAnsi="Arial" w:cs="Arial"/>
          <w:sz w:val="20"/>
          <w:szCs w:val="20"/>
        </w:rPr>
        <w:t>reduce communicable diseases such as TB, Malaria, HIV/AIDS and other non-communicable diseases problems.</w:t>
      </w:r>
    </w:p>
    <w:p w:rsidR="00CB1BF0" w:rsidRDefault="00CB1BF0" w:rsidP="009F6BC2">
      <w:pPr>
        <w:jc w:val="both"/>
        <w:rPr>
          <w:rFonts w:ascii="Arial" w:hAnsi="Arial" w:cs="Arial"/>
          <w:sz w:val="20"/>
          <w:szCs w:val="20"/>
        </w:rPr>
      </w:pPr>
    </w:p>
    <w:p w:rsidR="009F6BC2" w:rsidRDefault="009F6BC2" w:rsidP="009F6BC2">
      <w:pPr>
        <w:jc w:val="both"/>
        <w:rPr>
          <w:rFonts w:ascii="Arial" w:hAnsi="Arial" w:cs="Arial"/>
          <w:sz w:val="20"/>
          <w:szCs w:val="20"/>
        </w:rPr>
      </w:pPr>
      <w:r>
        <w:rPr>
          <w:rFonts w:ascii="Arial" w:hAnsi="Arial" w:cs="Arial"/>
          <w:sz w:val="20"/>
          <w:szCs w:val="20"/>
        </w:rPr>
        <w:t>Overall, healthcare is organized into three levels:</w:t>
      </w:r>
    </w:p>
    <w:p w:rsidR="009F6BC2" w:rsidRDefault="009F6BC2" w:rsidP="009F6BC2">
      <w:pPr>
        <w:jc w:val="both"/>
        <w:rPr>
          <w:rFonts w:ascii="Arial" w:hAnsi="Arial" w:cs="Arial"/>
          <w:sz w:val="20"/>
          <w:szCs w:val="20"/>
        </w:rPr>
      </w:pPr>
    </w:p>
    <w:p w:rsidR="009F6BC2" w:rsidRDefault="009F6BC2" w:rsidP="009F6BC2">
      <w:pPr>
        <w:pStyle w:val="ListParagraph"/>
        <w:numPr>
          <w:ilvl w:val="0"/>
          <w:numId w:val="5"/>
        </w:numPr>
        <w:jc w:val="both"/>
        <w:rPr>
          <w:rFonts w:ascii="Arial" w:hAnsi="Arial" w:cs="Arial"/>
          <w:sz w:val="20"/>
          <w:szCs w:val="20"/>
        </w:rPr>
      </w:pPr>
      <w:r>
        <w:rPr>
          <w:rFonts w:ascii="Arial" w:hAnsi="Arial" w:cs="Arial"/>
          <w:sz w:val="20"/>
          <w:szCs w:val="20"/>
        </w:rPr>
        <w:t>Primary care with 67 community health centres.  Health centres typically have 2-4 doctors, 5-6 nurses, 3-4 midwives, a pharmacist, a laboratory technician and health information analyst.  In addition, there are 216 health posts and mobile posts that travel between villages.  Each post is staffed with 1-2 nurses and a midwife.</w:t>
      </w:r>
    </w:p>
    <w:p w:rsidR="009F6BC2" w:rsidRDefault="004C3536" w:rsidP="009F6BC2">
      <w:pPr>
        <w:pStyle w:val="ListParagraph"/>
        <w:numPr>
          <w:ilvl w:val="0"/>
          <w:numId w:val="5"/>
        </w:numPr>
        <w:jc w:val="both"/>
        <w:rPr>
          <w:rFonts w:ascii="Arial" w:hAnsi="Arial" w:cs="Arial"/>
          <w:sz w:val="20"/>
          <w:szCs w:val="20"/>
        </w:rPr>
      </w:pPr>
      <w:r>
        <w:rPr>
          <w:rFonts w:ascii="Arial" w:hAnsi="Arial" w:cs="Arial"/>
          <w:sz w:val="20"/>
          <w:szCs w:val="20"/>
        </w:rPr>
        <w:t>Secondary care is provided in 5 district referral hospitals.</w:t>
      </w:r>
    </w:p>
    <w:p w:rsidR="004C3536" w:rsidRDefault="004C3536" w:rsidP="009F6BC2">
      <w:pPr>
        <w:pStyle w:val="ListParagraph"/>
        <w:numPr>
          <w:ilvl w:val="0"/>
          <w:numId w:val="5"/>
        </w:numPr>
        <w:jc w:val="both"/>
        <w:rPr>
          <w:rFonts w:ascii="Arial" w:hAnsi="Arial" w:cs="Arial"/>
          <w:sz w:val="20"/>
          <w:szCs w:val="20"/>
        </w:rPr>
      </w:pPr>
      <w:r>
        <w:rPr>
          <w:rFonts w:ascii="Arial" w:hAnsi="Arial" w:cs="Arial"/>
          <w:sz w:val="20"/>
          <w:szCs w:val="20"/>
        </w:rPr>
        <w:t>Tertiary care is provided in one hospital in Dili, covering more complex health issues.  Note that medical evacuation is a commonly selected option for complex surgery or major illness.</w:t>
      </w:r>
    </w:p>
    <w:p w:rsidR="004C3536" w:rsidRDefault="004C3536" w:rsidP="004C3536">
      <w:pPr>
        <w:jc w:val="both"/>
        <w:rPr>
          <w:rFonts w:ascii="Arial" w:hAnsi="Arial" w:cs="Arial"/>
          <w:sz w:val="20"/>
          <w:szCs w:val="20"/>
        </w:rPr>
      </w:pPr>
    </w:p>
    <w:p w:rsidR="003F00A6" w:rsidRDefault="004C3536" w:rsidP="004C3536">
      <w:pPr>
        <w:jc w:val="both"/>
        <w:rPr>
          <w:rFonts w:ascii="Arial" w:hAnsi="Arial" w:cs="Arial"/>
          <w:sz w:val="20"/>
          <w:szCs w:val="20"/>
        </w:rPr>
      </w:pPr>
      <w:r>
        <w:rPr>
          <w:rFonts w:ascii="Arial" w:hAnsi="Arial" w:cs="Arial"/>
          <w:sz w:val="20"/>
          <w:szCs w:val="20"/>
        </w:rPr>
        <w:lastRenderedPageBreak/>
        <w:t xml:space="preserve">Timor-Leste faces common challenges that many developing countries face when implementing health services, including but not limited to lack of education and training of current staff, </w:t>
      </w:r>
      <w:r w:rsidR="009C0AA4">
        <w:rPr>
          <w:rFonts w:ascii="Arial" w:hAnsi="Arial" w:cs="Arial"/>
          <w:sz w:val="20"/>
          <w:szCs w:val="20"/>
        </w:rPr>
        <w:t xml:space="preserve">lack of facilities and equipment to meet the needs of patients, inadequate medical record systems, limited number of specialists, limited access to services </w:t>
      </w:r>
      <w:r w:rsidR="003F00A6">
        <w:rPr>
          <w:rFonts w:ascii="Arial" w:hAnsi="Arial" w:cs="Arial"/>
          <w:sz w:val="20"/>
          <w:szCs w:val="20"/>
        </w:rPr>
        <w:t>and social norms that do not support regular prevention or treatment of medical conditions.</w:t>
      </w:r>
    </w:p>
    <w:p w:rsidR="003F00A6" w:rsidRDefault="003F00A6" w:rsidP="004C3536">
      <w:pPr>
        <w:jc w:val="both"/>
        <w:rPr>
          <w:rFonts w:ascii="Arial" w:hAnsi="Arial" w:cs="Arial"/>
          <w:sz w:val="20"/>
          <w:szCs w:val="20"/>
        </w:rPr>
      </w:pPr>
    </w:p>
    <w:p w:rsidR="004C3536" w:rsidRPr="004C3536" w:rsidRDefault="003F00A6" w:rsidP="00FA4CCB">
      <w:pPr>
        <w:jc w:val="center"/>
        <w:rPr>
          <w:rFonts w:ascii="Arial" w:hAnsi="Arial" w:cs="Arial"/>
          <w:sz w:val="20"/>
          <w:szCs w:val="20"/>
        </w:rPr>
      </w:pPr>
      <w:r>
        <w:rPr>
          <w:noProof/>
          <w:lang w:eastAsia="en-GB"/>
        </w:rPr>
        <w:drawing>
          <wp:inline distT="0" distB="0" distL="0" distR="0" wp14:anchorId="69AE7C26" wp14:editId="01BEBEBA">
            <wp:extent cx="2777938" cy="3748012"/>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80217" cy="3751087"/>
                    </a:xfrm>
                    <a:prstGeom prst="rect">
                      <a:avLst/>
                    </a:prstGeom>
                  </pic:spPr>
                </pic:pic>
              </a:graphicData>
            </a:graphic>
          </wp:inline>
        </w:drawing>
      </w:r>
    </w:p>
    <w:p w:rsidR="004C3536" w:rsidRDefault="004C3536" w:rsidP="004C3536">
      <w:pPr>
        <w:jc w:val="both"/>
        <w:rPr>
          <w:rFonts w:ascii="Arial" w:hAnsi="Arial" w:cs="Arial"/>
          <w:sz w:val="20"/>
          <w:szCs w:val="20"/>
        </w:rPr>
      </w:pPr>
    </w:p>
    <w:p w:rsidR="004C3536" w:rsidRDefault="00C80C39" w:rsidP="004C3536">
      <w:pPr>
        <w:jc w:val="both"/>
        <w:rPr>
          <w:rFonts w:ascii="Arial" w:hAnsi="Arial" w:cs="Arial"/>
          <w:sz w:val="20"/>
          <w:szCs w:val="20"/>
        </w:rPr>
      </w:pPr>
      <w:r>
        <w:rPr>
          <w:rFonts w:ascii="Arial" w:hAnsi="Arial" w:cs="Arial"/>
          <w:sz w:val="20"/>
          <w:szCs w:val="20"/>
        </w:rPr>
        <w:t>Currently, there is no available data demonstrating the consumption of controlled medicines</w:t>
      </w:r>
      <w:r w:rsidR="00FA4CCB">
        <w:rPr>
          <w:rFonts w:ascii="Arial" w:hAnsi="Arial" w:cs="Arial"/>
          <w:sz w:val="20"/>
          <w:szCs w:val="20"/>
        </w:rPr>
        <w:t>,</w:t>
      </w:r>
      <w:r>
        <w:rPr>
          <w:rFonts w:ascii="Arial" w:hAnsi="Arial" w:cs="Arial"/>
          <w:sz w:val="20"/>
          <w:szCs w:val="20"/>
        </w:rPr>
        <w:t xml:space="preserve"> such as morphine, pethidine and oxycodone in Timor-Leste.  The work of the Joint Global Program will include the following activities to begin in March 2016:</w:t>
      </w:r>
    </w:p>
    <w:p w:rsidR="00C80C39" w:rsidRPr="008A4EB3" w:rsidRDefault="00C80C39" w:rsidP="008A4EB3">
      <w:pPr>
        <w:pStyle w:val="ListParagraph"/>
        <w:numPr>
          <w:ilvl w:val="0"/>
          <w:numId w:val="6"/>
        </w:numPr>
        <w:jc w:val="both"/>
        <w:rPr>
          <w:rFonts w:ascii="Arial" w:hAnsi="Arial" w:cs="Arial"/>
          <w:sz w:val="20"/>
          <w:szCs w:val="20"/>
        </w:rPr>
      </w:pPr>
      <w:r>
        <w:rPr>
          <w:rFonts w:ascii="Arial" w:hAnsi="Arial" w:cs="Arial"/>
          <w:sz w:val="20"/>
          <w:szCs w:val="20"/>
        </w:rPr>
        <w:t>Identify key stakeholders</w:t>
      </w:r>
      <w:r w:rsidR="008A4EB3">
        <w:rPr>
          <w:rFonts w:ascii="Arial" w:hAnsi="Arial" w:cs="Arial"/>
          <w:sz w:val="20"/>
          <w:szCs w:val="20"/>
        </w:rPr>
        <w:t xml:space="preserve"> and c</w:t>
      </w:r>
      <w:r w:rsidRPr="008A4EB3">
        <w:rPr>
          <w:rFonts w:ascii="Arial" w:hAnsi="Arial" w:cs="Arial"/>
          <w:sz w:val="20"/>
          <w:szCs w:val="20"/>
        </w:rPr>
        <w:t>onvene a stakeholders meeting</w:t>
      </w:r>
    </w:p>
    <w:p w:rsidR="00C80C39" w:rsidRDefault="008A4EB3" w:rsidP="00C80C39">
      <w:pPr>
        <w:pStyle w:val="ListParagraph"/>
        <w:numPr>
          <w:ilvl w:val="0"/>
          <w:numId w:val="6"/>
        </w:numPr>
        <w:jc w:val="both"/>
        <w:rPr>
          <w:rFonts w:ascii="Arial" w:hAnsi="Arial" w:cs="Arial"/>
          <w:sz w:val="20"/>
          <w:szCs w:val="20"/>
        </w:rPr>
      </w:pPr>
      <w:r>
        <w:rPr>
          <w:rFonts w:ascii="Arial" w:hAnsi="Arial" w:cs="Arial"/>
          <w:sz w:val="20"/>
          <w:szCs w:val="20"/>
        </w:rPr>
        <w:t>Hold two day awareness raising session for health practitioners and policy makers</w:t>
      </w:r>
    </w:p>
    <w:p w:rsidR="008A4EB3" w:rsidRDefault="008A4EB3" w:rsidP="00C80C39">
      <w:pPr>
        <w:pStyle w:val="ListParagraph"/>
        <w:numPr>
          <w:ilvl w:val="0"/>
          <w:numId w:val="6"/>
        </w:numPr>
        <w:jc w:val="both"/>
        <w:rPr>
          <w:rFonts w:ascii="Arial" w:hAnsi="Arial" w:cs="Arial"/>
          <w:sz w:val="20"/>
          <w:szCs w:val="20"/>
        </w:rPr>
      </w:pPr>
      <w:r>
        <w:rPr>
          <w:rFonts w:ascii="Arial" w:hAnsi="Arial" w:cs="Arial"/>
          <w:sz w:val="20"/>
          <w:szCs w:val="20"/>
        </w:rPr>
        <w:t xml:space="preserve">Identify </w:t>
      </w:r>
      <w:r w:rsidR="00FA4CCB">
        <w:rPr>
          <w:rFonts w:ascii="Arial" w:hAnsi="Arial" w:cs="Arial"/>
          <w:sz w:val="20"/>
          <w:szCs w:val="20"/>
        </w:rPr>
        <w:t xml:space="preserve">gaps and </w:t>
      </w:r>
      <w:r>
        <w:rPr>
          <w:rFonts w:ascii="Arial" w:hAnsi="Arial" w:cs="Arial"/>
          <w:sz w:val="20"/>
          <w:szCs w:val="20"/>
        </w:rPr>
        <w:t>barriers to access</w:t>
      </w:r>
    </w:p>
    <w:p w:rsidR="008A4EB3" w:rsidRDefault="008A4EB3" w:rsidP="00C80C39">
      <w:pPr>
        <w:pStyle w:val="ListParagraph"/>
        <w:numPr>
          <w:ilvl w:val="0"/>
          <w:numId w:val="6"/>
        </w:numPr>
        <w:jc w:val="both"/>
        <w:rPr>
          <w:rFonts w:ascii="Arial" w:hAnsi="Arial" w:cs="Arial"/>
          <w:sz w:val="20"/>
          <w:szCs w:val="20"/>
        </w:rPr>
      </w:pPr>
      <w:r>
        <w:rPr>
          <w:rFonts w:ascii="Arial" w:hAnsi="Arial" w:cs="Arial"/>
          <w:sz w:val="20"/>
          <w:szCs w:val="20"/>
        </w:rPr>
        <w:t xml:space="preserve">Identify areas within the </w:t>
      </w:r>
      <w:proofErr w:type="spellStart"/>
      <w:r>
        <w:rPr>
          <w:rFonts w:ascii="Arial" w:hAnsi="Arial" w:cs="Arial"/>
          <w:sz w:val="20"/>
          <w:szCs w:val="20"/>
        </w:rPr>
        <w:t>SISCa</w:t>
      </w:r>
      <w:proofErr w:type="spellEnd"/>
      <w:r>
        <w:rPr>
          <w:rFonts w:ascii="Arial" w:hAnsi="Arial" w:cs="Arial"/>
          <w:sz w:val="20"/>
          <w:szCs w:val="20"/>
        </w:rPr>
        <w:t xml:space="preserve"> health system approach to integrate palliative care</w:t>
      </w:r>
    </w:p>
    <w:p w:rsidR="008A4EB3" w:rsidRDefault="008A4EB3" w:rsidP="00C80C39">
      <w:pPr>
        <w:pStyle w:val="ListParagraph"/>
        <w:numPr>
          <w:ilvl w:val="0"/>
          <w:numId w:val="6"/>
        </w:numPr>
        <w:jc w:val="both"/>
        <w:rPr>
          <w:rFonts w:ascii="Arial" w:hAnsi="Arial" w:cs="Arial"/>
          <w:sz w:val="20"/>
          <w:szCs w:val="20"/>
        </w:rPr>
      </w:pPr>
      <w:r>
        <w:rPr>
          <w:rFonts w:ascii="Arial" w:hAnsi="Arial" w:cs="Arial"/>
          <w:sz w:val="20"/>
          <w:szCs w:val="20"/>
        </w:rPr>
        <w:t>Create a national strategic approach in line with the National Health Sector Strategic Plan</w:t>
      </w:r>
    </w:p>
    <w:p w:rsidR="008A4EB3" w:rsidRPr="008A4EB3" w:rsidRDefault="00FA4CCB" w:rsidP="00A902E6">
      <w:pPr>
        <w:pStyle w:val="ListParagraph"/>
        <w:numPr>
          <w:ilvl w:val="0"/>
          <w:numId w:val="6"/>
        </w:numPr>
        <w:jc w:val="both"/>
        <w:rPr>
          <w:rFonts w:ascii="Arial" w:hAnsi="Arial" w:cs="Arial"/>
          <w:sz w:val="20"/>
          <w:szCs w:val="20"/>
        </w:rPr>
      </w:pPr>
      <w:r>
        <w:rPr>
          <w:rFonts w:ascii="Arial" w:hAnsi="Arial" w:cs="Arial"/>
          <w:sz w:val="20"/>
          <w:szCs w:val="20"/>
        </w:rPr>
        <w:t>C</w:t>
      </w:r>
      <w:r w:rsidR="008A4EB3">
        <w:rPr>
          <w:rFonts w:ascii="Arial" w:hAnsi="Arial" w:cs="Arial"/>
          <w:sz w:val="20"/>
          <w:szCs w:val="20"/>
        </w:rPr>
        <w:t>omply with the requirements of the International Narcotics Control Board.</w:t>
      </w:r>
    </w:p>
    <w:p w:rsidR="008A4EB3" w:rsidRPr="00FA4CCB" w:rsidRDefault="008A4EB3" w:rsidP="00A902E6">
      <w:pPr>
        <w:rPr>
          <w:sz w:val="16"/>
          <w:szCs w:val="16"/>
        </w:rPr>
      </w:pPr>
    </w:p>
    <w:p w:rsidR="002C37A4" w:rsidRDefault="003E4CC0" w:rsidP="00FA4CCB">
      <w:pPr>
        <w:jc w:val="both"/>
        <w:rPr>
          <w:rFonts w:ascii="Arial" w:hAnsi="Arial" w:cs="Arial"/>
          <w:sz w:val="20"/>
          <w:szCs w:val="20"/>
        </w:rPr>
      </w:pPr>
      <w:r>
        <w:rPr>
          <w:rFonts w:ascii="Arial" w:hAnsi="Arial" w:cs="Arial"/>
          <w:sz w:val="20"/>
          <w:szCs w:val="20"/>
        </w:rPr>
        <w:t>Special thanks go to the Commonwealth of Australia for their continued support and commitment to ending the suffering of patients around the world.</w:t>
      </w:r>
    </w:p>
    <w:p w:rsidR="00FA4CCB" w:rsidRPr="00FA4CCB" w:rsidRDefault="00FA4CCB" w:rsidP="00FA4CCB">
      <w:pPr>
        <w:jc w:val="both"/>
        <w:rPr>
          <w:rFonts w:ascii="Arial" w:hAnsi="Arial" w:cs="Arial"/>
          <w:sz w:val="16"/>
          <w:szCs w:val="16"/>
        </w:rPr>
      </w:pPr>
    </w:p>
    <w:p w:rsidR="006E3F3B" w:rsidRPr="00E3368B" w:rsidRDefault="003E4CC0" w:rsidP="00FA4CCB">
      <w:pPr>
        <w:jc w:val="center"/>
        <w:rPr>
          <w:rFonts w:ascii="Arial" w:hAnsi="Arial" w:cs="Arial"/>
          <w:sz w:val="20"/>
          <w:szCs w:val="20"/>
        </w:rPr>
      </w:pPr>
      <w:r>
        <w:rPr>
          <w:noProof/>
          <w:lang w:eastAsia="en-GB"/>
        </w:rPr>
        <w:drawing>
          <wp:inline distT="0" distB="0" distL="0" distR="0" wp14:anchorId="6BAE4B6B" wp14:editId="189038F1">
            <wp:extent cx="1038225" cy="523634"/>
            <wp:effectExtent l="0" t="0" r="0" b="0"/>
            <wp:docPr id="5" name="Picture 5" descr="A blue field with the Union Flag in the upper hoist quarter, a large white seven-pointed star in the lower hoist quarter, and constellation of five white stars in the fly – one small five-pointed star and four, larger, seven-pointed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field with the Union Flag in the upper hoist quarter, a large white seven-pointed star in the lower hoist quarter, and constellation of five white stars in the fly – one small five-pointed star and four, larger, seven-pointed star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39145" cy="524098"/>
                    </a:xfrm>
                    <a:prstGeom prst="rect">
                      <a:avLst/>
                    </a:prstGeom>
                    <a:noFill/>
                    <a:ln>
                      <a:noFill/>
                    </a:ln>
                  </pic:spPr>
                </pic:pic>
              </a:graphicData>
            </a:graphic>
          </wp:inline>
        </w:drawing>
      </w:r>
      <w:bookmarkStart w:id="0" w:name="_GoBack"/>
      <w:bookmarkEnd w:id="0"/>
    </w:p>
    <w:sectPr w:rsidR="006E3F3B" w:rsidRPr="00E3368B" w:rsidSect="003E4CC0">
      <w:type w:val="continuous"/>
      <w:pgSz w:w="11906" w:h="16838" w:code="9"/>
      <w:pgMar w:top="720" w:right="720" w:bottom="720" w:left="720" w:header="992" w:footer="68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905" w:rsidRDefault="00F22905">
      <w:r>
        <w:separator/>
      </w:r>
    </w:p>
  </w:endnote>
  <w:endnote w:type="continuationSeparator" w:id="0">
    <w:p w:rsidR="00F22905" w:rsidRDefault="00F2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24"/>
      <w:gridCol w:w="1123"/>
      <w:gridCol w:w="4224"/>
    </w:tblGrid>
    <w:tr w:rsidR="00634431">
      <w:tc>
        <w:tcPr>
          <w:tcW w:w="4224" w:type="dxa"/>
        </w:tcPr>
        <w:p w:rsidR="00634431" w:rsidRDefault="0090533F">
          <w:pPr>
            <w:pStyle w:val="Header"/>
            <w:tabs>
              <w:tab w:val="clear" w:pos="4320"/>
              <w:tab w:val="clear" w:pos="8640"/>
            </w:tabs>
            <w:spacing w:before="60"/>
            <w:rPr>
              <w:sz w:val="18"/>
              <w:szCs w:val="18"/>
            </w:rPr>
          </w:pPr>
          <w:r>
            <w:rPr>
              <w:sz w:val="18"/>
              <w:szCs w:val="18"/>
            </w:rPr>
            <w:t>Access to contr</w:t>
          </w:r>
          <w:r w:rsidR="00F92BA4">
            <w:rPr>
              <w:sz w:val="18"/>
              <w:szCs w:val="18"/>
            </w:rPr>
            <w:t xml:space="preserve">olled drugs for medical purpose (GLOK67) </w:t>
          </w:r>
        </w:p>
        <w:p w:rsidR="00A902E6" w:rsidRDefault="00A902E6">
          <w:pPr>
            <w:pStyle w:val="Header"/>
            <w:tabs>
              <w:tab w:val="clear" w:pos="4320"/>
              <w:tab w:val="clear" w:pos="8640"/>
            </w:tabs>
            <w:spacing w:before="60"/>
          </w:pPr>
          <w:r>
            <w:rPr>
              <w:sz w:val="18"/>
              <w:szCs w:val="18"/>
            </w:rPr>
            <w:t>Funded by the Government of Australia</w:t>
          </w:r>
        </w:p>
      </w:tc>
      <w:tc>
        <w:tcPr>
          <w:tcW w:w="1123" w:type="dxa"/>
        </w:tcPr>
        <w:p w:rsidR="00634431" w:rsidRDefault="00634431">
          <w:pPr>
            <w:pStyle w:val="Header"/>
            <w:tabs>
              <w:tab w:val="clear" w:pos="4320"/>
              <w:tab w:val="clear" w:pos="8640"/>
            </w:tabs>
            <w:spacing w:before="60"/>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FA4CCB">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FA4CCB">
            <w:rPr>
              <w:noProof/>
              <w:sz w:val="18"/>
              <w:szCs w:val="18"/>
            </w:rPr>
            <w:t>2</w:t>
          </w:r>
          <w:r>
            <w:rPr>
              <w:sz w:val="18"/>
              <w:szCs w:val="18"/>
            </w:rPr>
            <w:fldChar w:fldCharType="end"/>
          </w:r>
        </w:p>
      </w:tc>
      <w:tc>
        <w:tcPr>
          <w:tcW w:w="4224" w:type="dxa"/>
        </w:tcPr>
        <w:p w:rsidR="00634431" w:rsidRDefault="0090533F">
          <w:pPr>
            <w:autoSpaceDE w:val="0"/>
            <w:autoSpaceDN w:val="0"/>
            <w:adjustRightInd w:val="0"/>
            <w:spacing w:before="60" w:line="240" w:lineRule="atLeast"/>
            <w:jc w:val="right"/>
            <w:rPr>
              <w:sz w:val="18"/>
              <w:szCs w:val="18"/>
            </w:rPr>
          </w:pPr>
          <w:r>
            <w:rPr>
              <w:sz w:val="18"/>
              <w:szCs w:val="18"/>
            </w:rPr>
            <w:t xml:space="preserve">Jennifer </w:t>
          </w:r>
          <w:proofErr w:type="spellStart"/>
          <w:r>
            <w:rPr>
              <w:sz w:val="18"/>
              <w:szCs w:val="18"/>
            </w:rPr>
            <w:t>Hausberger</w:t>
          </w:r>
          <w:proofErr w:type="spellEnd"/>
          <w:r w:rsidR="00A85533">
            <w:rPr>
              <w:sz w:val="18"/>
              <w:szCs w:val="18"/>
            </w:rPr>
            <w:t xml:space="preserve">, Elizabeth </w:t>
          </w:r>
          <w:proofErr w:type="spellStart"/>
          <w:r w:rsidR="00A85533">
            <w:rPr>
              <w:sz w:val="18"/>
              <w:szCs w:val="18"/>
            </w:rPr>
            <w:t>Mattfeld</w:t>
          </w:r>
          <w:proofErr w:type="spellEnd"/>
        </w:p>
        <w:p w:rsidR="00634431" w:rsidRDefault="0090533F">
          <w:pPr>
            <w:pStyle w:val="Header"/>
            <w:tabs>
              <w:tab w:val="clear" w:pos="4320"/>
              <w:tab w:val="clear" w:pos="8640"/>
            </w:tabs>
            <w:jc w:val="right"/>
          </w:pPr>
          <w:r>
            <w:rPr>
              <w:sz w:val="18"/>
              <w:szCs w:val="18"/>
            </w:rPr>
            <w:t>March 2016</w:t>
          </w:r>
        </w:p>
      </w:tc>
    </w:tr>
  </w:tbl>
  <w:p w:rsidR="00634431" w:rsidRDefault="00634431">
    <w:pPr>
      <w:pStyle w:val="Footer"/>
      <w:tabs>
        <w:tab w:val="clear" w:pos="4320"/>
        <w:tab w:val="clear" w:pos="8640"/>
      </w:tabs>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24"/>
      <w:gridCol w:w="1123"/>
      <w:gridCol w:w="4224"/>
    </w:tblGrid>
    <w:tr w:rsidR="00634431">
      <w:tc>
        <w:tcPr>
          <w:tcW w:w="4224" w:type="dxa"/>
        </w:tcPr>
        <w:p w:rsidR="00634431" w:rsidRDefault="00634431">
          <w:pPr>
            <w:pStyle w:val="Header"/>
            <w:tabs>
              <w:tab w:val="clear" w:pos="4320"/>
              <w:tab w:val="clear" w:pos="8640"/>
            </w:tabs>
            <w:spacing w:before="60"/>
          </w:pPr>
          <w:r>
            <w:rPr>
              <w:sz w:val="18"/>
              <w:szCs w:val="18"/>
            </w:rPr>
            <w:t>Title of the Document</w:t>
          </w:r>
        </w:p>
      </w:tc>
      <w:tc>
        <w:tcPr>
          <w:tcW w:w="1123" w:type="dxa"/>
        </w:tcPr>
        <w:p w:rsidR="00634431" w:rsidRDefault="00634431">
          <w:pPr>
            <w:pStyle w:val="Header"/>
            <w:tabs>
              <w:tab w:val="clear" w:pos="4320"/>
              <w:tab w:val="clear" w:pos="8640"/>
            </w:tabs>
            <w:spacing w:before="60"/>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C160F8">
            <w:rPr>
              <w:noProof/>
              <w:sz w:val="18"/>
              <w:szCs w:val="18"/>
            </w:rPr>
            <w:t>2</w:t>
          </w:r>
          <w:r>
            <w:rPr>
              <w:sz w:val="18"/>
              <w:szCs w:val="18"/>
            </w:rPr>
            <w:fldChar w:fldCharType="end"/>
          </w:r>
        </w:p>
      </w:tc>
      <w:tc>
        <w:tcPr>
          <w:tcW w:w="4224" w:type="dxa"/>
        </w:tcPr>
        <w:p w:rsidR="00634431" w:rsidRDefault="00634431">
          <w:pPr>
            <w:autoSpaceDE w:val="0"/>
            <w:autoSpaceDN w:val="0"/>
            <w:adjustRightInd w:val="0"/>
            <w:spacing w:before="60" w:line="240" w:lineRule="atLeast"/>
            <w:jc w:val="right"/>
            <w:rPr>
              <w:sz w:val="18"/>
              <w:szCs w:val="18"/>
            </w:rPr>
          </w:pPr>
          <w:r>
            <w:rPr>
              <w:sz w:val="18"/>
              <w:szCs w:val="18"/>
            </w:rPr>
            <w:t>Author(s) initial or full name</w:t>
          </w:r>
        </w:p>
        <w:p w:rsidR="00634431" w:rsidRDefault="00634431">
          <w:pPr>
            <w:pStyle w:val="Header"/>
            <w:tabs>
              <w:tab w:val="clear" w:pos="4320"/>
              <w:tab w:val="clear" w:pos="8640"/>
            </w:tabs>
            <w:jc w:val="right"/>
          </w:pPr>
          <w:r>
            <w:rPr>
              <w:sz w:val="18"/>
              <w:szCs w:val="18"/>
            </w:rPr>
            <w:t>Date of preparation (e.g., 7 January 2009)</w:t>
          </w:r>
        </w:p>
      </w:tc>
    </w:tr>
  </w:tbl>
  <w:p w:rsidR="00634431" w:rsidRDefault="00634431">
    <w:pPr>
      <w:pStyle w:val="Footer"/>
      <w:tabs>
        <w:tab w:val="clear" w:pos="4320"/>
        <w:tab w:val="clear" w:pos="8640"/>
      </w:tabs>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905" w:rsidRDefault="00F22905">
      <w:r>
        <w:separator/>
      </w:r>
    </w:p>
  </w:footnote>
  <w:footnote w:type="continuationSeparator" w:id="0">
    <w:p w:rsidR="00F22905" w:rsidRDefault="00F22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31" w:rsidRDefault="005A5291" w:rsidP="00E3368B">
    <w:pPr>
      <w:pStyle w:val="Header"/>
      <w:tabs>
        <w:tab w:val="clear" w:pos="4320"/>
        <w:tab w:val="clear" w:pos="8640"/>
      </w:tabs>
      <w:ind w:firstLine="720"/>
    </w:pPr>
    <w:r>
      <w:rPr>
        <w:noProof/>
        <w:lang w:eastAsia="en-GB"/>
      </w:rPr>
      <w:drawing>
        <wp:inline distT="0" distB="0" distL="0" distR="0" wp14:anchorId="2EFA94BE" wp14:editId="5E290208">
          <wp:extent cx="2647950" cy="485775"/>
          <wp:effectExtent l="0" t="0" r="0" b="9525"/>
          <wp:docPr id="2" name="Picture 1" descr="UNODC_logo_E_u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ODC_logo_E_un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485775"/>
                  </a:xfrm>
                  <a:prstGeom prst="rect">
                    <a:avLst/>
                  </a:prstGeom>
                  <a:noFill/>
                  <a:ln>
                    <a:noFill/>
                  </a:ln>
                </pic:spPr>
              </pic:pic>
            </a:graphicData>
          </a:graphic>
        </wp:inline>
      </w:drawing>
    </w:r>
    <w:r w:rsidRPr="0094305C">
      <w:rPr>
        <w:noProof/>
        <w:lang w:eastAsia="en-GB"/>
      </w:rPr>
      <w:drawing>
        <wp:inline distT="0" distB="0" distL="0" distR="0" wp14:anchorId="663FD1E8" wp14:editId="3964ABCA">
          <wp:extent cx="752081" cy="523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52081" cy="523875"/>
                  </a:xfrm>
                  <a:prstGeom prst="rect">
                    <a:avLst/>
                  </a:prstGeom>
                  <a:noFill/>
                  <a:ln>
                    <a:noFill/>
                  </a:ln>
                </pic:spPr>
              </pic:pic>
            </a:graphicData>
          </a:graphic>
        </wp:inline>
      </w:drawing>
    </w:r>
    <w:r>
      <w:rPr>
        <w:noProof/>
        <w:lang w:eastAsia="en-GB"/>
      </w:rPr>
      <w:drawing>
        <wp:inline distT="0" distB="0" distL="0" distR="0" wp14:anchorId="661F3D8C" wp14:editId="5789038B">
          <wp:extent cx="1676400" cy="533400"/>
          <wp:effectExtent l="0" t="0" r="0" b="0"/>
          <wp:docPr id="4" name="Picture 4" descr="WHO-EN-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O-EN-C-H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inline>
      </w:drawing>
    </w:r>
  </w:p>
  <w:p w:rsidR="0074637C" w:rsidRDefault="0074637C">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31" w:rsidRDefault="00634431">
    <w:pPr>
      <w:pStyle w:val="Header"/>
      <w:tabs>
        <w:tab w:val="clear" w:pos="4320"/>
        <w:tab w:val="clear" w:pos="8640"/>
      </w:tabs>
    </w:pPr>
  </w:p>
  <w:p w:rsidR="00634431" w:rsidRDefault="00634431">
    <w:pPr>
      <w:pStyle w:val="Header"/>
      <w:tabs>
        <w:tab w:val="clear" w:pos="4320"/>
        <w:tab w:val="clear"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31" w:rsidRDefault="00634431">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216C"/>
    <w:multiLevelType w:val="hybridMultilevel"/>
    <w:tmpl w:val="BA32A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5E5241"/>
    <w:multiLevelType w:val="hybridMultilevel"/>
    <w:tmpl w:val="AD8ED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A57A42"/>
    <w:multiLevelType w:val="multilevel"/>
    <w:tmpl w:val="123E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266ADE"/>
    <w:multiLevelType w:val="hybridMultilevel"/>
    <w:tmpl w:val="2736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6E0CF3"/>
    <w:multiLevelType w:val="hybridMultilevel"/>
    <w:tmpl w:val="CF626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7B0827F6"/>
    <w:multiLevelType w:val="hybridMultilevel"/>
    <w:tmpl w:val="82D2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C5D"/>
    <w:rsid w:val="000118B4"/>
    <w:rsid w:val="000B0955"/>
    <w:rsid w:val="000E4C40"/>
    <w:rsid w:val="00114C4F"/>
    <w:rsid w:val="00135ACA"/>
    <w:rsid w:val="00144187"/>
    <w:rsid w:val="00147930"/>
    <w:rsid w:val="001D00AA"/>
    <w:rsid w:val="001F734F"/>
    <w:rsid w:val="00213C66"/>
    <w:rsid w:val="002C37A4"/>
    <w:rsid w:val="00383958"/>
    <w:rsid w:val="003E355F"/>
    <w:rsid w:val="003E4CC0"/>
    <w:rsid w:val="003F00A6"/>
    <w:rsid w:val="004C3536"/>
    <w:rsid w:val="0052262A"/>
    <w:rsid w:val="00582F02"/>
    <w:rsid w:val="00597173"/>
    <w:rsid w:val="005A5291"/>
    <w:rsid w:val="00634431"/>
    <w:rsid w:val="00694075"/>
    <w:rsid w:val="006E3F3B"/>
    <w:rsid w:val="00703FB3"/>
    <w:rsid w:val="00705E39"/>
    <w:rsid w:val="0074637C"/>
    <w:rsid w:val="007A579C"/>
    <w:rsid w:val="00894006"/>
    <w:rsid w:val="008A4EB3"/>
    <w:rsid w:val="008F1EAF"/>
    <w:rsid w:val="0090533F"/>
    <w:rsid w:val="00924B3F"/>
    <w:rsid w:val="0096412E"/>
    <w:rsid w:val="009C0AA4"/>
    <w:rsid w:val="009F6BC2"/>
    <w:rsid w:val="00A12F27"/>
    <w:rsid w:val="00A24AE5"/>
    <w:rsid w:val="00A85533"/>
    <w:rsid w:val="00A902E6"/>
    <w:rsid w:val="00B519AD"/>
    <w:rsid w:val="00BF7EC2"/>
    <w:rsid w:val="00C160F8"/>
    <w:rsid w:val="00C35D18"/>
    <w:rsid w:val="00C41516"/>
    <w:rsid w:val="00C80C39"/>
    <w:rsid w:val="00C9294E"/>
    <w:rsid w:val="00CB1BF0"/>
    <w:rsid w:val="00CF428B"/>
    <w:rsid w:val="00D05C68"/>
    <w:rsid w:val="00D324BC"/>
    <w:rsid w:val="00DF2DFA"/>
    <w:rsid w:val="00E3368B"/>
    <w:rsid w:val="00E71F4D"/>
    <w:rsid w:val="00F20C5D"/>
    <w:rsid w:val="00F22905"/>
    <w:rsid w:val="00F53A22"/>
    <w:rsid w:val="00F77AC6"/>
    <w:rsid w:val="00F92BA4"/>
    <w:rsid w:val="00FA4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C5D"/>
    <w:rPr>
      <w:rFonts w:eastAsia="Calibri"/>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4C4F"/>
    <w:rPr>
      <w:rFonts w:ascii="Tahoma" w:hAnsi="Tahoma" w:cs="Tahoma"/>
      <w:sz w:val="16"/>
      <w:szCs w:val="16"/>
    </w:rPr>
  </w:style>
  <w:style w:type="character" w:customStyle="1" w:styleId="BalloonTextChar">
    <w:name w:val="Balloon Text Char"/>
    <w:basedOn w:val="DefaultParagraphFont"/>
    <w:link w:val="BalloonText"/>
    <w:rsid w:val="00114C4F"/>
    <w:rPr>
      <w:rFonts w:ascii="Tahoma" w:eastAsia="Calibri" w:hAnsi="Tahoma" w:cs="Tahoma"/>
      <w:sz w:val="16"/>
      <w:szCs w:val="16"/>
      <w:lang w:eastAsia="zh-CN"/>
    </w:rPr>
  </w:style>
  <w:style w:type="paragraph" w:styleId="NormalWeb">
    <w:name w:val="Normal (Web)"/>
    <w:basedOn w:val="Normal"/>
    <w:rsid w:val="000E4C40"/>
  </w:style>
  <w:style w:type="paragraph" w:styleId="ListParagraph">
    <w:name w:val="List Paragraph"/>
    <w:basedOn w:val="Normal"/>
    <w:uiPriority w:val="34"/>
    <w:qFormat/>
    <w:rsid w:val="000E4C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C5D"/>
    <w:rPr>
      <w:rFonts w:eastAsia="Calibri"/>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4C4F"/>
    <w:rPr>
      <w:rFonts w:ascii="Tahoma" w:hAnsi="Tahoma" w:cs="Tahoma"/>
      <w:sz w:val="16"/>
      <w:szCs w:val="16"/>
    </w:rPr>
  </w:style>
  <w:style w:type="character" w:customStyle="1" w:styleId="BalloonTextChar">
    <w:name w:val="Balloon Text Char"/>
    <w:basedOn w:val="DefaultParagraphFont"/>
    <w:link w:val="BalloonText"/>
    <w:rsid w:val="00114C4F"/>
    <w:rPr>
      <w:rFonts w:ascii="Tahoma" w:eastAsia="Calibri" w:hAnsi="Tahoma" w:cs="Tahoma"/>
      <w:sz w:val="16"/>
      <w:szCs w:val="16"/>
      <w:lang w:eastAsia="zh-CN"/>
    </w:rPr>
  </w:style>
  <w:style w:type="paragraph" w:styleId="NormalWeb">
    <w:name w:val="Normal (Web)"/>
    <w:basedOn w:val="Normal"/>
    <w:rsid w:val="000E4C40"/>
  </w:style>
  <w:style w:type="paragraph" w:styleId="ListParagraph">
    <w:name w:val="List Paragraph"/>
    <w:basedOn w:val="Normal"/>
    <w:uiPriority w:val="34"/>
    <w:qFormat/>
    <w:rsid w:val="000E4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10395">
      <w:bodyDiv w:val="1"/>
      <w:marLeft w:val="0"/>
      <w:marRight w:val="0"/>
      <w:marTop w:val="600"/>
      <w:marBottom w:val="0"/>
      <w:divBdr>
        <w:top w:val="none" w:sz="0" w:space="0" w:color="auto"/>
        <w:left w:val="none" w:sz="0" w:space="0" w:color="auto"/>
        <w:bottom w:val="none" w:sz="0" w:space="0" w:color="auto"/>
        <w:right w:val="none" w:sz="0" w:space="0" w:color="auto"/>
      </w:divBdr>
      <w:divsChild>
        <w:div w:id="945498793">
          <w:marLeft w:val="0"/>
          <w:marRight w:val="0"/>
          <w:marTop w:val="0"/>
          <w:marBottom w:val="0"/>
          <w:divBdr>
            <w:top w:val="none" w:sz="0" w:space="0" w:color="auto"/>
            <w:left w:val="none" w:sz="0" w:space="0" w:color="auto"/>
            <w:bottom w:val="none" w:sz="0" w:space="0" w:color="auto"/>
            <w:right w:val="none" w:sz="0" w:space="0" w:color="auto"/>
          </w:divBdr>
          <w:divsChild>
            <w:div w:id="1350642829">
              <w:marLeft w:val="0"/>
              <w:marRight w:val="0"/>
              <w:marTop w:val="0"/>
              <w:marBottom w:val="0"/>
              <w:divBdr>
                <w:top w:val="none" w:sz="0" w:space="0" w:color="auto"/>
                <w:left w:val="none" w:sz="0" w:space="0" w:color="auto"/>
                <w:bottom w:val="none" w:sz="0" w:space="0" w:color="auto"/>
                <w:right w:val="none" w:sz="0" w:space="0" w:color="auto"/>
              </w:divBdr>
              <w:divsChild>
                <w:div w:id="2041587707">
                  <w:marLeft w:val="0"/>
                  <w:marRight w:val="0"/>
                  <w:marTop w:val="0"/>
                  <w:marBottom w:val="0"/>
                  <w:divBdr>
                    <w:top w:val="none" w:sz="0" w:space="0" w:color="auto"/>
                    <w:left w:val="single" w:sz="6" w:space="0" w:color="C3BCA1"/>
                    <w:bottom w:val="none" w:sz="0" w:space="0" w:color="auto"/>
                    <w:right w:val="single" w:sz="6" w:space="0" w:color="C3BCA1"/>
                  </w:divBdr>
                  <w:divsChild>
                    <w:div w:id="1491679052">
                      <w:marLeft w:val="0"/>
                      <w:marRight w:val="0"/>
                      <w:marTop w:val="0"/>
                      <w:marBottom w:val="0"/>
                      <w:divBdr>
                        <w:top w:val="none" w:sz="0" w:space="0" w:color="auto"/>
                        <w:left w:val="none" w:sz="0" w:space="0" w:color="auto"/>
                        <w:bottom w:val="none" w:sz="0" w:space="0" w:color="auto"/>
                        <w:right w:val="none" w:sz="0" w:space="0" w:color="auto"/>
                      </w:divBdr>
                      <w:divsChild>
                        <w:div w:id="125899463">
                          <w:marLeft w:val="0"/>
                          <w:marRight w:val="-14400"/>
                          <w:marTop w:val="0"/>
                          <w:marBottom w:val="0"/>
                          <w:divBdr>
                            <w:top w:val="none" w:sz="0" w:space="0" w:color="auto"/>
                            <w:left w:val="none" w:sz="0" w:space="0" w:color="auto"/>
                            <w:bottom w:val="none" w:sz="0" w:space="0" w:color="auto"/>
                            <w:right w:val="none" w:sz="0" w:space="0" w:color="auto"/>
                          </w:divBdr>
                          <w:divsChild>
                            <w:div w:id="1636985463">
                              <w:marLeft w:val="0"/>
                              <w:marRight w:val="0"/>
                              <w:marTop w:val="0"/>
                              <w:marBottom w:val="0"/>
                              <w:divBdr>
                                <w:top w:val="none" w:sz="0" w:space="0" w:color="auto"/>
                                <w:left w:val="none" w:sz="0" w:space="0" w:color="auto"/>
                                <w:bottom w:val="none" w:sz="0" w:space="0" w:color="auto"/>
                                <w:right w:val="none" w:sz="0" w:space="0" w:color="auto"/>
                              </w:divBdr>
                              <w:divsChild>
                                <w:div w:id="287244571">
                                  <w:marLeft w:val="0"/>
                                  <w:marRight w:val="0"/>
                                  <w:marTop w:val="0"/>
                                  <w:marBottom w:val="0"/>
                                  <w:divBdr>
                                    <w:top w:val="none" w:sz="0" w:space="0" w:color="auto"/>
                                    <w:left w:val="none" w:sz="0" w:space="0" w:color="auto"/>
                                    <w:bottom w:val="none" w:sz="0" w:space="0" w:color="auto"/>
                                    <w:right w:val="none" w:sz="0" w:space="0" w:color="auto"/>
                                  </w:divBdr>
                                  <w:divsChild>
                                    <w:div w:id="1118791004">
                                      <w:marLeft w:val="0"/>
                                      <w:marRight w:val="0"/>
                                      <w:marTop w:val="0"/>
                                      <w:marBottom w:val="0"/>
                                      <w:divBdr>
                                        <w:top w:val="none" w:sz="0" w:space="0" w:color="auto"/>
                                        <w:left w:val="none" w:sz="0" w:space="0" w:color="auto"/>
                                        <w:bottom w:val="none" w:sz="0" w:space="0" w:color="auto"/>
                                        <w:right w:val="none" w:sz="0" w:space="0" w:color="auto"/>
                                      </w:divBdr>
                                      <w:divsChild>
                                        <w:div w:id="487989015">
                                          <w:marLeft w:val="0"/>
                                          <w:marRight w:val="0"/>
                                          <w:marTop w:val="0"/>
                                          <w:marBottom w:val="0"/>
                                          <w:divBdr>
                                            <w:top w:val="none" w:sz="0" w:space="0" w:color="auto"/>
                                            <w:left w:val="none" w:sz="0" w:space="0" w:color="auto"/>
                                            <w:bottom w:val="none" w:sz="0" w:space="0" w:color="auto"/>
                                            <w:right w:val="none" w:sz="0" w:space="0" w:color="auto"/>
                                          </w:divBdr>
                                          <w:divsChild>
                                            <w:div w:id="46708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NODC\English\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32BA8-F7B5-4FBB-8BE1-04BB5819B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2</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UNODC</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Hausberger</dc:creator>
  <cp:lastModifiedBy>Elizabeth Mattfeld</cp:lastModifiedBy>
  <cp:revision>2</cp:revision>
  <cp:lastPrinted>2016-03-11T18:21:00Z</cp:lastPrinted>
  <dcterms:created xsi:type="dcterms:W3CDTF">2016-03-11T20:21:00Z</dcterms:created>
  <dcterms:modified xsi:type="dcterms:W3CDTF">2016-03-11T20:21:00Z</dcterms:modified>
</cp:coreProperties>
</file>