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C9" w:rsidRPr="00884775" w:rsidRDefault="00CF5410" w:rsidP="00884775">
      <w:pPr>
        <w:jc w:val="both"/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</w:pPr>
      <w:r w:rsidRPr="00884775">
        <w:rPr>
          <w:b/>
          <w:noProof/>
          <w:color w:val="76923C" w:themeColor="accent3" w:themeShade="BF"/>
          <w:sz w:val="72"/>
          <w:szCs w:val="7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right</wp:align>
            </wp:positionH>
            <wp:positionV relativeFrom="margin">
              <wp:align>top</wp:align>
            </wp:positionV>
            <wp:extent cx="1771650" cy="1771650"/>
            <wp:effectExtent l="19050" t="0" r="0" b="0"/>
            <wp:wrapSquare wrapText="bothSides"/>
            <wp:docPr id="1" name="Picture 0" descr="Youth_Iogo1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Iogo1_c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775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 xml:space="preserve">Mit 2: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>Narkomani</w:t>
      </w:r>
      <w:proofErr w:type="spellEnd"/>
      <w:r w:rsidR="00884775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 xml:space="preserve"> su </w:t>
      </w:r>
      <w:proofErr w:type="spellStart"/>
      <w:r w:rsidR="00884775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>loše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 xml:space="preserve"> </w:t>
      </w:r>
      <w:proofErr w:type="spellStart"/>
      <w:r w:rsidR="00884775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>izabrali</w:t>
      </w:r>
      <w:proofErr w:type="spellEnd"/>
      <w:r w:rsidR="00884775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 xml:space="preserve">, </w:t>
      </w:r>
      <w:r w:rsidRPr="00884775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 xml:space="preserve">to je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>njihova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72"/>
          <w:szCs w:val="72"/>
          <w:lang w:val="fr-FR"/>
        </w:rPr>
        <w:t>krivica</w:t>
      </w:r>
      <w:proofErr w:type="spellEnd"/>
    </w:p>
    <w:p w:rsidR="00672333" w:rsidRPr="00750D68" w:rsidRDefault="00CF541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Niko ne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odlučuje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postane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zavisan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droge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svojevoljno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Čak</w:t>
      </w:r>
      <w:proofErr w:type="spellEnd"/>
      <w:r w:rsidR="004D710D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eksperimentisanje</w:t>
      </w:r>
      <w:proofErr w:type="spellEnd"/>
      <w:r w:rsidR="004D710D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konzumiranje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droga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nešto</w:t>
      </w:r>
      <w:proofErr w:type="spellEnd"/>
      <w:r w:rsidR="004D71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se ne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dešava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zato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neko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voli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Nadamo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se da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postati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jasno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iz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predstojećih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pasusa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postoji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više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faktora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povećavaju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verovatnoću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neko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početi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koristi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droge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Ovi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faktori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su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izvan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kontrole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poje</w:t>
      </w:r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dinca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Niko ne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bira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bude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rođ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en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disfunkcionalnoj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porodici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siromašn</w:t>
      </w:r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oj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zajednici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Neće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svi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kori</w:t>
      </w:r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ste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droge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razviti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zavisnost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rizik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neko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razvije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zavisnost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zavisi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individualca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i do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faktora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sredine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72333" w:rsidRPr="00750D68" w:rsidRDefault="0067233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4084D" w:rsidRDefault="0094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5972810" cy="2211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Monkey Collage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410" w:rsidRDefault="00CF5410">
      <w:pPr>
        <w:rPr>
          <w:rFonts w:ascii="Times New Roman" w:hAnsi="Times New Roman" w:cs="Times New Roman"/>
          <w:sz w:val="24"/>
          <w:szCs w:val="24"/>
        </w:rPr>
      </w:pPr>
    </w:p>
    <w:p w:rsidR="0094084D" w:rsidRDefault="0094084D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94084D" w:rsidRDefault="0094084D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4D710D" w:rsidRDefault="004D710D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4D710D" w:rsidRDefault="004D710D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CF5410" w:rsidRPr="00884775" w:rsidRDefault="00CF5410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lastRenderedPageBreak/>
        <w:t xml:space="preserve">Koji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faktori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sredine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mogu</w:t>
      </w:r>
      <w:proofErr w:type="spellEnd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da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povećaju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osetljivost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koja</w:t>
      </w:r>
      <w:proofErr w:type="spellEnd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bi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dovela</w:t>
      </w:r>
      <w:proofErr w:type="spellEnd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do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počinjanja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konzumiranja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droga</w:t>
      </w:r>
      <w:proofErr w:type="spellEnd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?</w:t>
      </w:r>
    </w:p>
    <w:p w:rsidR="00CF5410" w:rsidRDefault="00CF5410">
      <w:pPr>
        <w:rPr>
          <w:rFonts w:ascii="Times New Roman" w:hAnsi="Times New Roman" w:cs="Times New Roman"/>
          <w:sz w:val="24"/>
          <w:szCs w:val="24"/>
        </w:rPr>
      </w:pPr>
      <w:r w:rsidRPr="00884775">
        <w:rPr>
          <w:rFonts w:ascii="Times New Roman" w:hAnsi="Times New Roman" w:cs="Times New Roman"/>
          <w:b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emotivne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izmedju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="004D71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710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4D7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1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</w:t>
      </w:r>
      <w:r w:rsidR="008847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srodnici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usvojitelji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takođ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5410" w:rsidRDefault="0088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poput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razvod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541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smrt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>.</w:t>
      </w:r>
    </w:p>
    <w:p w:rsidR="00CF5410" w:rsidRDefault="0088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</w:rPr>
        <w:t>Loš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ranog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negativna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541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sla</w:t>
      </w:r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nikakvo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pohadjanje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 xml:space="preserve">ab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nikakav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uspeh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zdravlju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zasnovano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dokazima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preventivnih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>.</w:t>
      </w:r>
    </w:p>
    <w:p w:rsidR="00CF5410" w:rsidRDefault="0088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Lak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alkoholu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duvanu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541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drogama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>.</w:t>
      </w:r>
    </w:p>
    <w:p w:rsidR="00CF5410" w:rsidRDefault="0088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odobravaju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541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promovišu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</w:t>
      </w:r>
      <w:r w:rsidR="00CF541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prijateljima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vršnjacima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10">
        <w:rPr>
          <w:rFonts w:ascii="Times New Roman" w:hAnsi="Times New Roman" w:cs="Times New Roman"/>
          <w:sz w:val="24"/>
          <w:szCs w:val="24"/>
        </w:rPr>
        <w:t>porodicom</w:t>
      </w:r>
      <w:proofErr w:type="spellEnd"/>
      <w:r w:rsidR="00CF5410">
        <w:rPr>
          <w:rFonts w:ascii="Times New Roman" w:hAnsi="Times New Roman" w:cs="Times New Roman"/>
          <w:sz w:val="24"/>
          <w:szCs w:val="24"/>
        </w:rPr>
        <w:t>.</w:t>
      </w:r>
    </w:p>
    <w:p w:rsidR="00CF5410" w:rsidRDefault="00CF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Odrastanje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marginalizovanim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ugroženim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beskućništvo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84775">
        <w:rPr>
          <w:rFonts w:ascii="Times New Roman" w:hAnsi="Times New Roman" w:cs="Times New Roman"/>
          <w:sz w:val="24"/>
          <w:szCs w:val="24"/>
        </w:rPr>
        <w:t>onflikti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477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884775">
        <w:rPr>
          <w:rFonts w:ascii="Times New Roman" w:hAnsi="Times New Roman" w:cs="Times New Roman"/>
          <w:sz w:val="24"/>
          <w:szCs w:val="24"/>
        </w:rPr>
        <w:t xml:space="preserve"> rat,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bednosti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antisocijal</w:t>
      </w:r>
      <w:r w:rsidR="0088477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88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izdvojenost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298" w:rsidRDefault="009E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5972810" cy="2211070"/>
            <wp:effectExtent l="19050" t="0" r="8890" b="0"/>
            <wp:docPr id="3" name="Picture 2" descr="PicMonkey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onkey Colla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68" w:rsidRDefault="00750D68">
      <w:pPr>
        <w:rPr>
          <w:rFonts w:ascii="Times New Roman" w:hAnsi="Times New Roman" w:cs="Times New Roman"/>
          <w:sz w:val="24"/>
          <w:szCs w:val="24"/>
        </w:rPr>
      </w:pPr>
    </w:p>
    <w:p w:rsidR="00750D68" w:rsidRDefault="00750D68">
      <w:pPr>
        <w:rPr>
          <w:rFonts w:ascii="Times New Roman" w:hAnsi="Times New Roman" w:cs="Times New Roman"/>
          <w:sz w:val="24"/>
          <w:szCs w:val="24"/>
        </w:rPr>
      </w:pPr>
    </w:p>
    <w:p w:rsidR="00750D68" w:rsidRDefault="00750D68">
      <w:pPr>
        <w:rPr>
          <w:rFonts w:ascii="Times New Roman" w:hAnsi="Times New Roman" w:cs="Times New Roman"/>
          <w:sz w:val="24"/>
          <w:szCs w:val="24"/>
        </w:rPr>
      </w:pPr>
    </w:p>
    <w:p w:rsidR="00750D68" w:rsidRDefault="00750D68">
      <w:pPr>
        <w:rPr>
          <w:rFonts w:ascii="Times New Roman" w:hAnsi="Times New Roman" w:cs="Times New Roman"/>
          <w:sz w:val="24"/>
          <w:szCs w:val="24"/>
        </w:rPr>
      </w:pPr>
    </w:p>
    <w:p w:rsidR="00750D68" w:rsidRDefault="00750D68">
      <w:pPr>
        <w:rPr>
          <w:rFonts w:ascii="Times New Roman" w:hAnsi="Times New Roman" w:cs="Times New Roman"/>
          <w:sz w:val="24"/>
          <w:szCs w:val="24"/>
        </w:rPr>
      </w:pPr>
    </w:p>
    <w:p w:rsidR="00CF5410" w:rsidRPr="00884775" w:rsidRDefault="00CF5410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lastRenderedPageBreak/>
        <w:t xml:space="preserve">Koji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faktori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proofErr w:type="gram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na</w:t>
      </w:r>
      <w:proofErr w:type="spellEnd"/>
      <w:proofErr w:type="gram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individualnom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nivou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mogu</w:t>
      </w:r>
      <w:proofErr w:type="spellEnd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da </w:t>
      </w:r>
      <w:proofErr w:type="spellStart"/>
      <w:r w:rsidR="00884775"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utiču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="00884775"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na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="00884775"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nekog</w:t>
      </w:r>
      <w:proofErr w:type="spellEnd"/>
      <w:r w:rsidR="00884775"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da </w:t>
      </w:r>
      <w:proofErr w:type="spellStart"/>
      <w:r w:rsidR="00884775"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počne</w:t>
      </w:r>
      <w:proofErr w:type="spellEnd"/>
      <w:r w:rsidR="00884775"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da </w:t>
      </w:r>
      <w:proofErr w:type="spellStart"/>
      <w:r w:rsidR="00884775"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konzu</w:t>
      </w:r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mira</w:t>
      </w:r>
      <w:proofErr w:type="spellEnd"/>
      <w:r w:rsidR="004D710D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droge</w:t>
      </w:r>
      <w:proofErr w:type="spellEnd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?</w:t>
      </w:r>
    </w:p>
    <w:p w:rsidR="00CF5410" w:rsidRDefault="00CF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884775">
        <w:rPr>
          <w:rFonts w:ascii="Times New Roman" w:hAnsi="Times New Roman" w:cs="Times New Roman"/>
          <w:sz w:val="24"/>
          <w:szCs w:val="24"/>
        </w:rPr>
        <w:t>mperamenta</w:t>
      </w:r>
      <w:proofErr w:type="spellEnd"/>
      <w:r w:rsidR="0088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potraga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uzbuđenjima</w:t>
      </w:r>
      <w:proofErr w:type="spellEnd"/>
      <w:r w:rsidR="0088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agresijom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477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impulsivno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5410" w:rsidRPr="00750D68" w:rsidRDefault="00CF541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50D68">
        <w:rPr>
          <w:rFonts w:ascii="Times New Roman" w:hAnsi="Times New Roman" w:cs="Times New Roman"/>
          <w:sz w:val="24"/>
          <w:szCs w:val="24"/>
          <w:lang w:val="fr-FR"/>
        </w:rPr>
        <w:t>→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Zdravstveni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mentalni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problemi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poput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visoke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anksioznosti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depresije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E2CBF" w:rsidRPr="00750D68" w:rsidRDefault="00CF541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50D68">
        <w:rPr>
          <w:rFonts w:ascii="Times New Roman" w:hAnsi="Times New Roman" w:cs="Times New Roman"/>
          <w:sz w:val="24"/>
          <w:szCs w:val="24"/>
          <w:lang w:val="fr-FR"/>
        </w:rPr>
        <w:t>→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Slabe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emocionalne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lične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veštine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k</w:t>
      </w:r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ao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nemogućnost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se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kontrolišu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sopstvene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emocije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pre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poznaju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emocije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kod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drugih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suočavanje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sa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stresnim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situacijama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E2CBF" w:rsidRPr="005E2CBF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1650" cy="1771650"/>
            <wp:effectExtent l="19050" t="0" r="0" b="0"/>
            <wp:wrapSquare wrapText="bothSides"/>
            <wp:docPr id="2" name="Picture 0" descr="Youth_Iogo1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Iogo1_c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410" w:rsidRPr="00750D68" w:rsidRDefault="00CF541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50D68">
        <w:rPr>
          <w:rFonts w:ascii="Times New Roman" w:hAnsi="Times New Roman" w:cs="Times New Roman"/>
          <w:sz w:val="24"/>
          <w:szCs w:val="24"/>
          <w:lang w:val="fr-FR"/>
        </w:rPr>
        <w:t>→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Nedovoljno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dobro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donošenje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odluka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nedovoljno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razvijene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veštine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rešavanje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problema</w:t>
      </w:r>
      <w:proofErr w:type="spellEnd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50D68" w:rsidRDefault="005E2CBF" w:rsidP="009E429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50D68">
        <w:rPr>
          <w:rFonts w:ascii="Times New Roman" w:hAnsi="Times New Roman" w:cs="Times New Roman"/>
          <w:sz w:val="24"/>
          <w:szCs w:val="24"/>
          <w:lang w:val="fr-FR"/>
        </w:rPr>
        <w:t>→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Uvere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nje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većina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vršnjaka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već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eksperimentisala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sa</w:t>
      </w:r>
      <w:proofErr w:type="gram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koristila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substance 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mišljenje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konzumiranje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supstanci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nije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riskantno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E4298" w:rsidRPr="00750D68" w:rsidRDefault="009E4298" w:rsidP="009E429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5E2CBF" w:rsidRDefault="00750D68" w:rsidP="009E4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D68">
        <w:rPr>
          <w:rFonts w:ascii="Times New Roman" w:hAnsi="Times New Roman" w:cs="Times New Roman"/>
          <w:sz w:val="24"/>
          <w:szCs w:val="24"/>
          <w:lang w:val="fr-FR"/>
        </w:rPr>
        <w:t>→</w:t>
      </w:r>
      <w:r w:rsidRPr="00750D68">
        <w:rPr>
          <w:rFonts w:ascii="Times New Roman" w:hAnsi="Times New Roman" w:cs="Times New Roman"/>
          <w:sz w:val="24"/>
          <w:szCs w:val="24"/>
        </w:rPr>
        <w:t>Naslednost je značajan riskantni faktor za zavisnost. Zapravo, naučnici procenjuju da  40-60% nečije predispozicije da postane zavisan je bazirano na genetici.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</w:rPr>
        <w:t xml:space="preserve">U porodicama gde je zavisnost prisutna deca su daleko sklonija da imaju problem sa  zavisnošću  kao odrasli, naročito ako su svedoci  svakodnevnog  roditeljevog  zavisničkog  ponašanja </w:t>
      </w:r>
    </w:p>
    <w:p w:rsidR="009E4298" w:rsidRDefault="009E4298" w:rsidP="009E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98" w:rsidRDefault="009E4298" w:rsidP="009E4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5972810" cy="2211070"/>
            <wp:effectExtent l="19050" t="0" r="8890" b="0"/>
            <wp:docPr id="5" name="Picture 4" descr="PicMonkey Collag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onkey Collageg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98" w:rsidRDefault="009E4298" w:rsidP="009E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98" w:rsidRDefault="009E4298" w:rsidP="009E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98" w:rsidRDefault="009E4298" w:rsidP="009E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98" w:rsidRDefault="009E4298" w:rsidP="009E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98" w:rsidRDefault="009E4298" w:rsidP="009E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98" w:rsidRDefault="009E4298" w:rsidP="009E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98" w:rsidRPr="00750D68" w:rsidRDefault="009E4298" w:rsidP="009E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10" w:rsidRPr="00750D68" w:rsidRDefault="005E2CBF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lastRenderedPageBreak/>
        <w:t>Da</w:t>
      </w:r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li</w:t>
      </w:r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su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ovi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faktori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ranjivosti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kontrolisani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proofErr w:type="gram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od</w:t>
      </w:r>
      <w:proofErr w:type="spellEnd"/>
      <w:proofErr w:type="gram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strane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pojedin</w:t>
      </w:r>
      <w:r w:rsidR="00884775"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a</w:t>
      </w:r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ca</w:t>
      </w:r>
      <w:proofErr w:type="spellEnd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,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posebno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dece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i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mladih</w:t>
      </w:r>
      <w:proofErr w:type="spellEnd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?</w:t>
      </w:r>
    </w:p>
    <w:p w:rsidR="00750D68" w:rsidRPr="00750D68" w:rsidRDefault="005E2CBF" w:rsidP="00750D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Razli</w:t>
      </w:r>
      <w:r w:rsidRPr="00750D6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r w:rsidR="008847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osetljivosti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povezani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477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</w:rPr>
        <w:t xml:space="preserve">. </w:t>
      </w:r>
      <w:r w:rsidR="00884775">
        <w:rPr>
          <w:rFonts w:ascii="Times New Roman" w:hAnsi="Times New Roman" w:cs="Times New Roman"/>
          <w:sz w:val="24"/>
          <w:szCs w:val="24"/>
        </w:rPr>
        <w:t>Oni</w:t>
      </w:r>
      <w:r w:rsidR="00884775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</w:rPr>
        <w:t>č</w:t>
      </w:r>
      <w:r w:rsidR="00884775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</w:t>
      </w:r>
      <w:r w:rsidR="0088477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r w:rsidRPr="00750D6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1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doprinose</w:t>
      </w:r>
      <w:proofErr w:type="spellEnd"/>
      <w:r w:rsidRPr="0075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vi</w:t>
      </w:r>
      <w:r w:rsidR="00884775" w:rsidRPr="00750D68">
        <w:rPr>
          <w:rFonts w:ascii="Times New Roman" w:hAnsi="Times New Roman" w:cs="Times New Roman"/>
          <w:sz w:val="24"/>
          <w:szCs w:val="24"/>
        </w:rPr>
        <w:t>š</w:t>
      </w:r>
      <w:r w:rsidR="008847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477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osetljivim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</w:rPr>
        <w:t xml:space="preserve"> </w:t>
      </w:r>
      <w:r w:rsidR="00884775">
        <w:rPr>
          <w:rFonts w:ascii="Times New Roman" w:hAnsi="Times New Roman" w:cs="Times New Roman"/>
          <w:sz w:val="24"/>
          <w:szCs w:val="24"/>
        </w:rPr>
        <w:t>da</w:t>
      </w:r>
      <w:r w:rsidR="00884775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po</w:t>
      </w:r>
      <w:r w:rsidR="00884775" w:rsidRPr="00750D6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5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D6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5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zavisnost</w:t>
      </w:r>
      <w:proofErr w:type="spellEnd"/>
      <w:r w:rsidRPr="00750D68">
        <w:rPr>
          <w:rFonts w:ascii="Times New Roman" w:hAnsi="Times New Roman" w:cs="Times New Roman"/>
          <w:sz w:val="24"/>
          <w:szCs w:val="24"/>
        </w:rPr>
        <w:t>.</w:t>
      </w:r>
    </w:p>
    <w:p w:rsidR="00750D68" w:rsidRPr="009E4298" w:rsidRDefault="00750D68" w:rsidP="00750D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4298">
        <w:rPr>
          <w:rFonts w:ascii="Times New Roman" w:hAnsi="Times New Roman" w:cs="Times New Roman"/>
          <w:sz w:val="24"/>
          <w:szCs w:val="24"/>
        </w:rPr>
        <w:t>Neki  faktori</w:t>
      </w:r>
      <w:proofErr w:type="gramEnd"/>
      <w:r w:rsidRPr="009E4298">
        <w:rPr>
          <w:rFonts w:ascii="Times New Roman" w:hAnsi="Times New Roman" w:cs="Times New Roman"/>
          <w:sz w:val="24"/>
          <w:szCs w:val="24"/>
        </w:rPr>
        <w:t xml:space="preserve">  rizika mogu biti moćniji</w:t>
      </w:r>
      <w:r w:rsidR="007120F7">
        <w:rPr>
          <w:rFonts w:ascii="Times New Roman" w:hAnsi="Times New Roman" w:cs="Times New Roman"/>
          <w:sz w:val="24"/>
          <w:szCs w:val="24"/>
        </w:rPr>
        <w:t xml:space="preserve"> od drugih u odredjenim </w:t>
      </w:r>
      <w:proofErr w:type="spellStart"/>
      <w:r w:rsidR="007120F7">
        <w:rPr>
          <w:rFonts w:ascii="Times New Roman" w:hAnsi="Times New Roman" w:cs="Times New Roman"/>
          <w:sz w:val="24"/>
          <w:szCs w:val="24"/>
        </w:rPr>
        <w:t>periodima</w:t>
      </w:r>
      <w:proofErr w:type="spellEnd"/>
      <w:r w:rsidRPr="009E4298">
        <w:rPr>
          <w:rFonts w:ascii="Times New Roman" w:hAnsi="Times New Roman" w:cs="Times New Roman"/>
          <w:sz w:val="24"/>
          <w:szCs w:val="24"/>
        </w:rPr>
        <w:t xml:space="preserve">  u razvoju, kao što je pritisak vršnjaka </w:t>
      </w:r>
      <w:proofErr w:type="spellStart"/>
      <w:r w:rsidRPr="009E4298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9E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98">
        <w:rPr>
          <w:rFonts w:ascii="Times New Roman" w:hAnsi="Times New Roman" w:cs="Times New Roman"/>
          <w:sz w:val="24"/>
          <w:szCs w:val="24"/>
        </w:rPr>
        <w:t>tinejdžerskih</w:t>
      </w:r>
      <w:proofErr w:type="spellEnd"/>
      <w:r w:rsidRPr="009E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9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E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0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9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E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9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E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98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9E4298">
        <w:rPr>
          <w:rFonts w:ascii="Times New Roman" w:hAnsi="Times New Roman" w:cs="Times New Roman"/>
          <w:sz w:val="24"/>
          <w:szCs w:val="24"/>
        </w:rPr>
        <w:t xml:space="preserve"> zaštitni faktori kao što je jaka veza izmedju roditelja i deteta može imati veći uticaj na smanjenje rizika tokom ranog uzrasta.</w:t>
      </w:r>
    </w:p>
    <w:p w:rsidR="00750D68" w:rsidRPr="00750D68" w:rsidRDefault="00750D68">
      <w:pPr>
        <w:rPr>
          <w:rFonts w:ascii="Times New Roman" w:hAnsi="Times New Roman" w:cs="Times New Roman"/>
          <w:sz w:val="24"/>
          <w:szCs w:val="24"/>
        </w:rPr>
      </w:pPr>
    </w:p>
    <w:p w:rsidR="005E2CBF" w:rsidRPr="00750D68" w:rsidRDefault="005E2CBF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</w:pPr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 xml:space="preserve">Da li </w:t>
      </w:r>
      <w:proofErr w:type="spellStart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>uzrast</w:t>
      </w:r>
      <w:proofErr w:type="spellEnd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 xml:space="preserve"> u </w:t>
      </w:r>
      <w:proofErr w:type="spellStart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>kom</w:t>
      </w:r>
      <w:proofErr w:type="spellEnd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 xml:space="preserve"> se </w:t>
      </w:r>
      <w:proofErr w:type="spellStart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>počne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>pravi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>razliku</w:t>
      </w:r>
      <w:proofErr w:type="spellEnd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>?</w:t>
      </w:r>
    </w:p>
    <w:p w:rsidR="005E2CBF" w:rsidRDefault="005E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Mozak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detinjs</w:t>
      </w:r>
      <w:r w:rsidR="00884775">
        <w:rPr>
          <w:rFonts w:ascii="Times New Roman" w:hAnsi="Times New Roman" w:cs="Times New Roman"/>
          <w:sz w:val="24"/>
          <w:szCs w:val="24"/>
        </w:rPr>
        <w:t>tva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8477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ranih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dvadesetih</w:t>
      </w:r>
      <w:proofErr w:type="spellEnd"/>
      <w:r w:rsidR="00884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počnu</w:t>
      </w:r>
      <w:proofErr w:type="spellEnd"/>
      <w:r w:rsidR="00C8495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C84959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verovatno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razviti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mentalni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poremećaj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2CBF" w:rsidRDefault="005E2C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počnu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884775">
        <w:rPr>
          <w:rFonts w:ascii="Times New Roman" w:hAnsi="Times New Roman" w:cs="Times New Roman"/>
          <w:sz w:val="24"/>
          <w:szCs w:val="24"/>
        </w:rPr>
        <w:t>riste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izložena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mnogim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faktorima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osetljivosti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2CBF" w:rsidRPr="00884775" w:rsidRDefault="005E2CBF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Koje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su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specifične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potrebe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dece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i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mladih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razli</w:t>
      </w:r>
      <w:r w:rsidR="00884775"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či</w:t>
      </w:r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tih</w:t>
      </w:r>
      <w:proofErr w:type="spellEnd"/>
      <w:r w:rsid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uzrasta</w:t>
      </w:r>
      <w:proofErr w:type="spellEnd"/>
      <w:r w:rsidRPr="0088477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?</w:t>
      </w:r>
    </w:p>
    <w:p w:rsidR="005E2CBF" w:rsidRDefault="005E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uzrastu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proofErr w:type="gram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odredjene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veština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884775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88477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bezb</w:t>
      </w:r>
      <w:r w:rsidR="0033183B">
        <w:rPr>
          <w:rFonts w:ascii="Times New Roman" w:hAnsi="Times New Roman" w:cs="Times New Roman"/>
          <w:sz w:val="24"/>
          <w:szCs w:val="24"/>
        </w:rPr>
        <w:t>edan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3B">
        <w:rPr>
          <w:rFonts w:ascii="Times New Roman" w:hAnsi="Times New Roman" w:cs="Times New Roman"/>
          <w:sz w:val="24"/>
          <w:szCs w:val="24"/>
        </w:rPr>
        <w:t>zdravstveni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3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3B">
        <w:rPr>
          <w:rFonts w:ascii="Times New Roman" w:hAnsi="Times New Roman" w:cs="Times New Roman"/>
          <w:sz w:val="24"/>
          <w:szCs w:val="24"/>
        </w:rPr>
        <w:t>ometen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3B">
        <w:rPr>
          <w:rFonts w:ascii="Times New Roman" w:hAnsi="Times New Roman" w:cs="Times New Roman"/>
          <w:sz w:val="24"/>
          <w:szCs w:val="24"/>
        </w:rPr>
        <w:t>v</w:t>
      </w:r>
      <w:r w:rsidR="00884775">
        <w:rPr>
          <w:rFonts w:ascii="Times New Roman" w:hAnsi="Times New Roman" w:cs="Times New Roman"/>
          <w:sz w:val="24"/>
          <w:szCs w:val="24"/>
        </w:rPr>
        <w:t>eća</w:t>
      </w:r>
      <w:proofErr w:type="spellEnd"/>
      <w:r w:rsidR="0088477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88477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problematično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5">
        <w:rPr>
          <w:rFonts w:ascii="Times New Roman" w:hAnsi="Times New Roman" w:cs="Times New Roman"/>
          <w:sz w:val="24"/>
          <w:szCs w:val="24"/>
        </w:rPr>
        <w:t>ponašaju.</w:t>
      </w:r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opisani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povećaju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osetljivost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negativan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razvojni</w:t>
      </w:r>
      <w:proofErr w:type="spellEnd"/>
      <w:r w:rsidR="0075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2CBF" w:rsidRPr="00750D68" w:rsidRDefault="008847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50D6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Rani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u w:val="single"/>
          <w:lang w:val="fr-FR"/>
        </w:rPr>
        <w:t>životni</w:t>
      </w:r>
      <w:proofErr w:type="spellEnd"/>
      <w:r w:rsidRPr="00750D6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u w:val="single"/>
          <w:lang w:val="fr-FR"/>
        </w:rPr>
        <w:t>period</w:t>
      </w:r>
      <w:proofErr w:type="spellEnd"/>
      <w:r w:rsidRPr="00750D6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važno</w:t>
      </w:r>
      <w:proofErr w:type="spellEnd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je</w:t>
      </w:r>
      <w:proofErr w:type="spellEnd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razvije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zdrav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odnos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sa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starateljem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i da se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nauči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samokontrola</w:t>
      </w:r>
      <w:proofErr w:type="spellEnd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Nakon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ovoga</w:t>
      </w:r>
      <w:proofErr w:type="spellEnd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učenje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osnov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pismenosti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računanja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počinje</w:t>
      </w:r>
      <w:proofErr w:type="spellEnd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Razvoj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ovoga</w:t>
      </w:r>
      <w:proofErr w:type="spellEnd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ide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zajedno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sa</w:t>
      </w:r>
      <w:proofErr w:type="gram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učenjem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samokontrole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impulsivnosti</w:t>
      </w:r>
      <w:proofErr w:type="spellEnd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ponašanja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usmerenog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ka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cilju</w:t>
      </w:r>
      <w:proofErr w:type="spellEnd"/>
      <w:r w:rsidR="005E2CBF" w:rsidRPr="00750D6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E2CBF" w:rsidRPr="00750D68" w:rsidRDefault="005E2CBF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50D68">
        <w:rPr>
          <w:rFonts w:ascii="Times New Roman" w:hAnsi="Times New Roman" w:cs="Times New Roman"/>
          <w:sz w:val="24"/>
          <w:szCs w:val="24"/>
          <w:u w:val="single"/>
          <w:lang w:val="fr-FR"/>
        </w:rPr>
        <w:t>Tokomuzrasta</w:t>
      </w:r>
      <w:proofErr w:type="spellEnd"/>
      <w:r w:rsidRPr="00750D6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10-14</w:t>
      </w:r>
      <w:r w:rsidR="00C84959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bookmarkStart w:id="0" w:name="_GoBack"/>
      <w:bookmarkEnd w:id="0"/>
      <w:r w:rsidRPr="00750D68">
        <w:rPr>
          <w:rFonts w:ascii="Times New Roman" w:hAnsi="Times New Roman" w:cs="Times New Roman"/>
          <w:sz w:val="24"/>
          <w:szCs w:val="24"/>
          <w:lang w:val="fr-FR"/>
        </w:rPr>
        <w:t>ove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veštine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više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razvijaju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Učenje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različitih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socijalni</w:t>
      </w:r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h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veština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počinje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odredjuje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siguran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zdravstven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razvoj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Socijalne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veštine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su, na primer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komukacione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veštine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osećaj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poštovanja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odgovornosti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samopouzdanja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samoekspresije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Takodje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učenje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ulozi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studenta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povezanosti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sa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školom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postanu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važni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zajedno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sa</w:t>
      </w:r>
      <w:proofErr w:type="gram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emocionalnim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samoregulacionim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veštinama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E2CBF" w:rsidRPr="00750D68" w:rsidRDefault="005E2CBF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Tokom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razvoja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u w:val="single"/>
          <w:lang w:val="fr-FR"/>
        </w:rPr>
        <w:t>adolescenciji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oprezni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stavovi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sklonosti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ka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riskantnim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ponašanjima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razvijaju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U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ovom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periodu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važno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je da se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postigne</w:t>
      </w:r>
      <w:proofErr w:type="spellEnd"/>
      <w:r w:rsidR="00641F3F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održi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emocionalno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mentalno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zdravlje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uključujući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0D6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na primer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samopouzdanje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Odsustvo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ranih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riskantnih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ponašanja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>pušenje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važno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4775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bezbedan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razvoj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ovom</w:t>
      </w:r>
      <w:proofErr w:type="spellEnd"/>
      <w:r w:rsidR="00750D68" w:rsidRPr="00750D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sz w:val="24"/>
          <w:szCs w:val="24"/>
          <w:lang w:val="fr-FR"/>
        </w:rPr>
        <w:t>uzrastu</w:t>
      </w:r>
      <w:proofErr w:type="spellEnd"/>
      <w:r w:rsidRPr="00750D6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4084D" w:rsidRPr="00750D68" w:rsidRDefault="0094084D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</w:pPr>
    </w:p>
    <w:p w:rsidR="005E2CBF" w:rsidRPr="00750D68" w:rsidRDefault="005E2CBF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</w:pPr>
      <w:proofErr w:type="spellStart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lastRenderedPageBreak/>
        <w:t>Za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>više</w:t>
      </w:r>
      <w:proofErr w:type="spellEnd"/>
      <w:r w:rsidR="00750D68"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 xml:space="preserve"> </w:t>
      </w:r>
      <w:proofErr w:type="spellStart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>informacija</w:t>
      </w:r>
      <w:proofErr w:type="spellEnd"/>
      <w:r w:rsidRPr="00750D68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fr-FR"/>
        </w:rPr>
        <w:t>:</w:t>
      </w:r>
    </w:p>
    <w:p w:rsidR="00884775" w:rsidRPr="00750D68" w:rsidRDefault="00C84959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884775" w:rsidRPr="00750D6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http://www.drugabuse.gov</w:t>
        </w:r>
      </w:hyperlink>
    </w:p>
    <w:p w:rsidR="00884775" w:rsidRPr="00750D68" w:rsidRDefault="00C84959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0" w:history="1">
        <w:r w:rsidR="00884775" w:rsidRPr="00750D6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http://teens.drugabuse.gov</w:t>
        </w:r>
      </w:hyperlink>
    </w:p>
    <w:p w:rsidR="00884775" w:rsidRPr="00750D68" w:rsidRDefault="00C84959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1" w:history="1">
        <w:r w:rsidR="00884775" w:rsidRPr="00750D6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http://www.unodc.org/unodc/en/prevention/youth-initiative.html</w:t>
        </w:r>
      </w:hyperlink>
    </w:p>
    <w:p w:rsidR="00672333" w:rsidRDefault="0067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GetTheFactsAndBreakTheMyths</w:t>
      </w:r>
      <w:proofErr w:type="spellEnd"/>
    </w:p>
    <w:p w:rsidR="005E2CBF" w:rsidRPr="005E2CBF" w:rsidRDefault="005E2CBF">
      <w:pPr>
        <w:rPr>
          <w:rFonts w:ascii="Times New Roman" w:hAnsi="Times New Roman" w:cs="Times New Roman"/>
          <w:sz w:val="24"/>
          <w:szCs w:val="24"/>
        </w:rPr>
      </w:pPr>
    </w:p>
    <w:p w:rsidR="00CF5410" w:rsidRDefault="00CF5410">
      <w:pPr>
        <w:rPr>
          <w:rFonts w:ascii="Times New Roman" w:hAnsi="Times New Roman" w:cs="Times New Roman"/>
          <w:sz w:val="24"/>
          <w:szCs w:val="24"/>
        </w:rPr>
      </w:pPr>
    </w:p>
    <w:p w:rsidR="00CF5410" w:rsidRPr="005E2CBF" w:rsidRDefault="00CF5410">
      <w:pPr>
        <w:rPr>
          <w:rFonts w:ascii="Times New Roman" w:hAnsi="Times New Roman" w:cs="Times New Roman"/>
          <w:sz w:val="24"/>
          <w:szCs w:val="24"/>
        </w:rPr>
      </w:pPr>
    </w:p>
    <w:sectPr w:rsidR="00CF5410" w:rsidRPr="005E2CBF" w:rsidSect="00B27F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5410"/>
    <w:rsid w:val="00190012"/>
    <w:rsid w:val="001C422B"/>
    <w:rsid w:val="0033183B"/>
    <w:rsid w:val="00435E4F"/>
    <w:rsid w:val="004D710D"/>
    <w:rsid w:val="005E2CBF"/>
    <w:rsid w:val="00641F3F"/>
    <w:rsid w:val="00672333"/>
    <w:rsid w:val="007120F7"/>
    <w:rsid w:val="00750D68"/>
    <w:rsid w:val="0082112C"/>
    <w:rsid w:val="00884775"/>
    <w:rsid w:val="0094084D"/>
    <w:rsid w:val="009E4298"/>
    <w:rsid w:val="00B27FC9"/>
    <w:rsid w:val="00C84959"/>
    <w:rsid w:val="00CF5410"/>
    <w:rsid w:val="00F7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D07AE-3D64-4B22-B8A4-7A730D84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unodc.org/unodc/en/prevention/youth-initiativ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eens.drugab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ugab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8B64-0D4B-4063-AF37-42F0999B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DODER</dc:creator>
  <cp:lastModifiedBy>SASHA</cp:lastModifiedBy>
  <cp:revision>9</cp:revision>
  <dcterms:created xsi:type="dcterms:W3CDTF">2014-09-05T20:32:00Z</dcterms:created>
  <dcterms:modified xsi:type="dcterms:W3CDTF">2014-09-07T04:24:00Z</dcterms:modified>
</cp:coreProperties>
</file>