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68B9" w14:textId="77777777" w:rsidR="0022013F" w:rsidRPr="007E279E" w:rsidRDefault="0022013F" w:rsidP="0022013F">
      <w:pPr>
        <w:spacing w:line="240" w:lineRule="auto"/>
        <w:rPr>
          <w:sz w:val="2"/>
        </w:rPr>
        <w:sectPr w:rsidR="0022013F" w:rsidRPr="007E279E" w:rsidSect="00DC3CC0">
          <w:headerReference w:type="even" r:id="rId8"/>
          <w:headerReference w:type="default" r:id="rId9"/>
          <w:footerReference w:type="even" r:id="rId10"/>
          <w:footerReference w:type="default" r:id="rId11"/>
          <w:footerReference w:type="first" r:id="rId12"/>
          <w:endnotePr>
            <w:numFmt w:val="decimal"/>
          </w:endnotePr>
          <w:pgSz w:w="11909" w:h="16834"/>
          <w:pgMar w:top="1440" w:right="1032" w:bottom="1757" w:left="1032" w:header="432" w:footer="504" w:gutter="0"/>
          <w:cols w:space="720"/>
          <w:titlePg/>
          <w:docGrid w:linePitch="360"/>
        </w:sectPr>
      </w:pPr>
    </w:p>
    <w:tbl>
      <w:tblPr>
        <w:tblW w:w="10074" w:type="dxa"/>
        <w:tblLayout w:type="fixed"/>
        <w:tblLook w:val="0000" w:firstRow="0" w:lastRow="0" w:firstColumn="0" w:lastColumn="0" w:noHBand="0" w:noVBand="0"/>
      </w:tblPr>
      <w:tblGrid>
        <w:gridCol w:w="4893"/>
        <w:gridCol w:w="288"/>
        <w:gridCol w:w="4893"/>
      </w:tblGrid>
      <w:tr w:rsidR="0022013F" w:rsidRPr="00A02AE5" w14:paraId="42809780" w14:textId="77777777" w:rsidTr="0022013F">
        <w:tc>
          <w:tcPr>
            <w:tcW w:w="4893" w:type="dxa"/>
            <w:shd w:val="clear" w:color="auto" w:fill="auto"/>
          </w:tcPr>
          <w:p w14:paraId="047D5CC6" w14:textId="1DE6634C" w:rsidR="0022013F" w:rsidRPr="00A02AE5" w:rsidRDefault="0022013F" w:rsidP="00A02AE5"/>
        </w:tc>
        <w:tc>
          <w:tcPr>
            <w:tcW w:w="288" w:type="dxa"/>
            <w:shd w:val="clear" w:color="auto" w:fill="auto"/>
          </w:tcPr>
          <w:p w14:paraId="585CCA0E" w14:textId="77777777" w:rsidR="0022013F" w:rsidRPr="00A02AE5" w:rsidRDefault="0022013F" w:rsidP="0022013F"/>
        </w:tc>
        <w:tc>
          <w:tcPr>
            <w:tcW w:w="4893" w:type="dxa"/>
            <w:shd w:val="clear" w:color="auto" w:fill="auto"/>
          </w:tcPr>
          <w:p w14:paraId="7AC068C7" w14:textId="77777777" w:rsidR="0022013F" w:rsidRPr="00A02AE5" w:rsidRDefault="0022013F" w:rsidP="0022013F"/>
        </w:tc>
      </w:tr>
      <w:tr w:rsidR="0022013F" w:rsidRPr="00A02AE5" w14:paraId="1B0632D4" w14:textId="77777777" w:rsidTr="0022013F">
        <w:tc>
          <w:tcPr>
            <w:tcW w:w="4893" w:type="dxa"/>
            <w:shd w:val="clear" w:color="auto" w:fill="auto"/>
          </w:tcPr>
          <w:p w14:paraId="5A40D10E" w14:textId="77777777" w:rsidR="0022013F" w:rsidRPr="00A02AE5" w:rsidRDefault="0022013F" w:rsidP="0022013F"/>
        </w:tc>
        <w:tc>
          <w:tcPr>
            <w:tcW w:w="288" w:type="dxa"/>
            <w:shd w:val="clear" w:color="auto" w:fill="auto"/>
          </w:tcPr>
          <w:p w14:paraId="03A0F1D6" w14:textId="77777777" w:rsidR="0022013F" w:rsidRPr="00A02AE5" w:rsidRDefault="0022013F" w:rsidP="0022013F"/>
        </w:tc>
        <w:tc>
          <w:tcPr>
            <w:tcW w:w="4893" w:type="dxa"/>
            <w:shd w:val="clear" w:color="auto" w:fill="auto"/>
          </w:tcPr>
          <w:p w14:paraId="506A59DC" w14:textId="77777777" w:rsidR="0022013F" w:rsidRPr="00A02AE5" w:rsidRDefault="0022013F" w:rsidP="0022013F"/>
        </w:tc>
      </w:tr>
    </w:tbl>
    <w:p w14:paraId="1AF5F88C" w14:textId="77777777" w:rsidR="007A23C1" w:rsidRPr="00A02AE5" w:rsidRDefault="007A23C1" w:rsidP="007A23C1">
      <w:pPr>
        <w:pStyle w:val="SingleTxt"/>
        <w:spacing w:after="0" w:line="120" w:lineRule="atLeast"/>
        <w:rPr>
          <w:sz w:val="10"/>
        </w:rPr>
      </w:pPr>
    </w:p>
    <w:p w14:paraId="694CDF82" w14:textId="77777777" w:rsidR="007A23C1" w:rsidRPr="00A02AE5" w:rsidRDefault="007A23C1" w:rsidP="007A23C1">
      <w:pPr>
        <w:pStyle w:val="SingleTxt"/>
        <w:spacing w:after="0" w:line="120" w:lineRule="atLeast"/>
        <w:contextualSpacing/>
        <w:rPr>
          <w:sz w:val="10"/>
        </w:rPr>
      </w:pPr>
    </w:p>
    <w:p w14:paraId="0B9BAB63" w14:textId="68E47112" w:rsidR="001C097F" w:rsidRPr="009953D4" w:rsidRDefault="00DC3CC0" w:rsidP="00A02AE5">
      <w:pPr>
        <w:pStyle w:val="HCh"/>
        <w:ind w:left="1267" w:right="1260" w:hanging="1267"/>
        <w:rPr>
          <w:lang w:val="en-GB"/>
        </w:rPr>
      </w:pPr>
      <w:r w:rsidRPr="00A02AE5">
        <w:tab/>
      </w:r>
      <w:r w:rsidRPr="00A02AE5">
        <w:tab/>
      </w:r>
      <w:r w:rsidR="009953D4" w:rsidRPr="009953D4">
        <w:rPr>
          <w:lang w:val="en-GB"/>
        </w:rPr>
        <w:t>Mechanism for the Review of the Implementation of the United Nations Convention against Transnational Organized Crime and the Protocols thereto</w:t>
      </w:r>
    </w:p>
    <w:p w14:paraId="4CD5B7CF" w14:textId="107F013F" w:rsidR="00DC3CC0" w:rsidRPr="00A02AE5" w:rsidRDefault="00DC3CC0" w:rsidP="00DC3CC0">
      <w:pPr>
        <w:pStyle w:val="SingleTxt"/>
        <w:spacing w:after="0" w:line="120" w:lineRule="atLeast"/>
        <w:rPr>
          <w:sz w:val="10"/>
        </w:rPr>
      </w:pPr>
    </w:p>
    <w:p w14:paraId="1F5BD999" w14:textId="77777777" w:rsidR="007A23C1" w:rsidRPr="00A02AE5" w:rsidRDefault="007A23C1" w:rsidP="007A23C1">
      <w:pPr>
        <w:pStyle w:val="SingleTxt"/>
        <w:spacing w:after="0" w:line="120" w:lineRule="atLeast"/>
        <w:rPr>
          <w:sz w:val="10"/>
        </w:rPr>
      </w:pPr>
    </w:p>
    <w:p w14:paraId="2192C839" w14:textId="5E05C8CA" w:rsidR="00DC3CC0" w:rsidRPr="009953D4" w:rsidRDefault="00DC3CC0" w:rsidP="00BF7F9C">
      <w:pPr>
        <w:pStyle w:val="H1"/>
        <w:ind w:left="1267" w:right="1260" w:hanging="1267"/>
        <w:rPr>
          <w:vertAlign w:val="superscript"/>
          <w:lang w:val="en-GB"/>
        </w:rPr>
      </w:pPr>
      <w:r w:rsidRPr="00A02AE5">
        <w:tab/>
      </w:r>
      <w:r w:rsidRPr="00A02AE5">
        <w:tab/>
      </w:r>
      <w:r w:rsidR="009953D4" w:rsidRPr="009953D4">
        <w:t>Guidelines for conducting the country review</w:t>
      </w:r>
    </w:p>
    <w:p w14:paraId="257A83BD" w14:textId="77777777" w:rsidR="00BF7F9C" w:rsidRPr="00FA6E02" w:rsidRDefault="00BF7F9C" w:rsidP="00BF7F9C">
      <w:pPr>
        <w:pStyle w:val="SingleTxt"/>
        <w:spacing w:after="0" w:line="120" w:lineRule="exact"/>
        <w:rPr>
          <w:sz w:val="10"/>
        </w:rPr>
      </w:pPr>
    </w:p>
    <w:p w14:paraId="551954B6" w14:textId="4E0BBA53" w:rsidR="00DC3CC0" w:rsidRPr="00A02AE5" w:rsidRDefault="00DC3CC0" w:rsidP="00DC3CC0">
      <w:pPr>
        <w:pStyle w:val="SingleTxt"/>
        <w:spacing w:after="0" w:line="120" w:lineRule="atLeast"/>
        <w:rPr>
          <w:sz w:val="10"/>
        </w:rPr>
      </w:pPr>
    </w:p>
    <w:p w14:paraId="231AE2DF" w14:textId="1DA9A7DB" w:rsidR="00DC3CC0" w:rsidRPr="00A02AE5" w:rsidRDefault="00DC3CC0" w:rsidP="00A02AE5">
      <w:pPr>
        <w:pStyle w:val="H1"/>
        <w:ind w:left="1267" w:right="1260" w:hanging="1267"/>
      </w:pPr>
      <w:r w:rsidRPr="00A02AE5">
        <w:tab/>
      </w:r>
      <w:r w:rsidR="00A02AE5" w:rsidRPr="00A02AE5">
        <w:rPr>
          <w:spacing w:val="-2"/>
          <w:sz w:val="28"/>
        </w:rPr>
        <w:t>I</w:t>
      </w:r>
      <w:r w:rsidR="001C097F" w:rsidRPr="00A02AE5">
        <w:rPr>
          <w:spacing w:val="-2"/>
          <w:sz w:val="28"/>
        </w:rPr>
        <w:t xml:space="preserve">. </w:t>
      </w:r>
      <w:r w:rsidR="001C097F" w:rsidRPr="00A02AE5">
        <w:tab/>
      </w:r>
      <w:r w:rsidR="009953D4" w:rsidRPr="009953D4">
        <w:rPr>
          <w:sz w:val="28"/>
          <w:szCs w:val="28"/>
        </w:rPr>
        <w:t>General guidance</w:t>
      </w:r>
    </w:p>
    <w:p w14:paraId="597E5988" w14:textId="4DEBBD30" w:rsidR="00DC3CC0" w:rsidRPr="00A02AE5" w:rsidRDefault="00DC3CC0" w:rsidP="00DC3CC0">
      <w:pPr>
        <w:pStyle w:val="SingleTxt"/>
        <w:spacing w:after="0" w:line="120" w:lineRule="atLeast"/>
        <w:rPr>
          <w:sz w:val="10"/>
        </w:rPr>
      </w:pPr>
    </w:p>
    <w:p w14:paraId="67C5B300" w14:textId="390FC31B" w:rsidR="00DC3CC0" w:rsidRPr="00A02AE5" w:rsidRDefault="00DC3CC0" w:rsidP="007A23C1">
      <w:pPr>
        <w:pStyle w:val="SingleTxt"/>
        <w:spacing w:after="0" w:line="120" w:lineRule="atLeast"/>
        <w:contextualSpacing/>
        <w:rPr>
          <w:sz w:val="10"/>
        </w:rPr>
      </w:pPr>
    </w:p>
    <w:p w14:paraId="253B568B" w14:textId="77777777" w:rsidR="00CB0600" w:rsidRPr="00CB0600" w:rsidRDefault="00CB0600" w:rsidP="00CB0600">
      <w:pPr>
        <w:pStyle w:val="SingleTxt"/>
        <w:numPr>
          <w:ilvl w:val="0"/>
          <w:numId w:val="30"/>
        </w:numPr>
        <w:spacing w:after="0"/>
        <w:ind w:left="1264" w:firstLine="0"/>
        <w:contextualSpacing/>
        <w:rPr>
          <w:iCs/>
        </w:rPr>
      </w:pPr>
      <w:r>
        <w:rPr>
          <w:iCs/>
          <w:lang w:val="en-US"/>
        </w:rPr>
        <w:t xml:space="preserve"> </w:t>
      </w:r>
      <w:r w:rsidRPr="00CB0600">
        <w:rPr>
          <w:iCs/>
        </w:rPr>
        <w:t>Throughout the review process, States parties and the secretariat shall be guided by the relevant provisions of the United Nations Convention against Transnational Organized Crime and the Protocols thereto</w:t>
      </w:r>
      <w:r w:rsidRPr="00CB0600">
        <w:rPr>
          <w:iCs/>
          <w:vertAlign w:val="superscript"/>
          <w:lang w:val="es-CR"/>
        </w:rPr>
        <w:footnoteReference w:id="1"/>
      </w:r>
      <w:r w:rsidRPr="00CB0600">
        <w:rPr>
          <w:iCs/>
        </w:rPr>
        <w:t xml:space="preserve"> and the Procedures and rules for the functioning of the Mechanism for the Review of the Implementation of the United Nations Convention against Transnational Organized Crime and the Protocols thereto.</w:t>
      </w:r>
      <w:r w:rsidRPr="00CB0600">
        <w:rPr>
          <w:iCs/>
          <w:vertAlign w:val="superscript"/>
          <w:lang w:val="es-CR"/>
        </w:rPr>
        <w:footnoteReference w:id="2"/>
      </w:r>
    </w:p>
    <w:p w14:paraId="555E2960" w14:textId="77777777" w:rsidR="009953D4" w:rsidRPr="009953D4" w:rsidRDefault="009953D4" w:rsidP="00AD5EFB">
      <w:pPr>
        <w:pStyle w:val="SingleTxt"/>
        <w:numPr>
          <w:ilvl w:val="0"/>
          <w:numId w:val="30"/>
        </w:numPr>
        <w:spacing w:before="120" w:after="0"/>
        <w:ind w:left="1264" w:firstLine="0"/>
        <w:rPr>
          <w:iCs/>
          <w:lang w:val="en-US"/>
        </w:rPr>
      </w:pPr>
      <w:r w:rsidRPr="009953D4">
        <w:rPr>
          <w:iCs/>
          <w:lang w:val="en-US"/>
        </w:rPr>
        <w:t>In particular, governmental experts shall bear in mind article 4, paragraph 1, of the Convention, which states that States parties shall carry out their obligations under the Convention in a manner consistent with the principles of sovereign equality and territorial integrity of States and that of non-intervention in the domestic affairs of other States.</w:t>
      </w:r>
    </w:p>
    <w:p w14:paraId="1344AB6B" w14:textId="77777777" w:rsidR="00AD5EFB" w:rsidRPr="00AD5EFB" w:rsidRDefault="00AD5EFB" w:rsidP="00AD5EFB">
      <w:pPr>
        <w:pStyle w:val="SingleTxt"/>
        <w:numPr>
          <w:ilvl w:val="0"/>
          <w:numId w:val="30"/>
        </w:numPr>
        <w:spacing w:before="120" w:after="0"/>
        <w:ind w:left="1264" w:firstLine="0"/>
        <w:rPr>
          <w:iCs/>
          <w:lang w:val="en-US"/>
        </w:rPr>
      </w:pPr>
      <w:r w:rsidRPr="00AD5EFB">
        <w:rPr>
          <w:iCs/>
          <w:lang w:val="en-US"/>
        </w:rPr>
        <w:t>Furthermore, governmental experts shall carry out the reviews in full recognition of the guiding principles and characteristics of the Mechanism for the Review of the Implementation of the United Nations Convention against Transnational Organized Crime and the Protocols thereto, as specified in section II of the Procedures and rules for its functioning.</w:t>
      </w:r>
    </w:p>
    <w:p w14:paraId="41F5DDCB" w14:textId="77777777" w:rsidR="00AD5EFB" w:rsidRPr="00AD5EFB" w:rsidRDefault="00AD5EFB" w:rsidP="00AD5EFB">
      <w:pPr>
        <w:pStyle w:val="SingleTxt"/>
        <w:numPr>
          <w:ilvl w:val="0"/>
          <w:numId w:val="30"/>
        </w:numPr>
        <w:spacing w:before="120" w:after="0"/>
        <w:ind w:left="1264" w:firstLine="0"/>
        <w:rPr>
          <w:iCs/>
          <w:lang w:val="en-US"/>
        </w:rPr>
      </w:pPr>
      <w:r w:rsidRPr="00AD5EFB">
        <w:rPr>
          <w:iCs/>
          <w:lang w:val="en-US"/>
        </w:rPr>
        <w:t>During all interactions within the review process, governmental experts shall respect the collective approach. Governmental experts are expected to act with courtesy and diplomacy, and shall remain objective and impartial. Governmental experts need to be flexible in their approach and ready to adapt to changes in schedules.</w:t>
      </w:r>
    </w:p>
    <w:p w14:paraId="513ECCD8" w14:textId="20B8EE57" w:rsidR="00AD5EFB" w:rsidRPr="00AD5EFB" w:rsidRDefault="00AD5EFB" w:rsidP="00AD5EFB">
      <w:pPr>
        <w:pStyle w:val="SingleTxt"/>
        <w:numPr>
          <w:ilvl w:val="0"/>
          <w:numId w:val="30"/>
        </w:numPr>
        <w:spacing w:before="120" w:after="0"/>
        <w:ind w:left="1264" w:firstLine="0"/>
        <w:rPr>
          <w:iCs/>
          <w:lang w:val="en-US"/>
        </w:rPr>
      </w:pPr>
      <w:r w:rsidRPr="00AD5EFB">
        <w:rPr>
          <w:iCs/>
          <w:lang w:val="en-US"/>
        </w:rPr>
        <w:t xml:space="preserve">The reviewing States parties, their governmental experts involved in the review and the Secretariat shall maintain the confidentiality of all information obtained in the course of, or used in, the country review. On a voluntary basis, parties under review may request the Secretariat to use information provided during their reviews to populate the public elements of knowledge management portal known as Sharing Electronic Resources and Laws on Crime (SHERLOC). If there are serious grounds for believing that a governmental expert or a member of the secretariat has violated the obligation of confidentiality, the States parties concerned or the secretariat may inform the </w:t>
      </w:r>
      <w:r w:rsidR="004173DE">
        <w:rPr>
          <w:iCs/>
          <w:lang w:val="en-US"/>
        </w:rPr>
        <w:t xml:space="preserve">extended </w:t>
      </w:r>
      <w:r w:rsidR="000D1C34">
        <w:rPr>
          <w:iCs/>
          <w:lang w:val="en-US"/>
        </w:rPr>
        <w:t>Bureau</w:t>
      </w:r>
      <w:r w:rsidRPr="00AD5EFB">
        <w:rPr>
          <w:iCs/>
          <w:lang w:val="en-US"/>
        </w:rPr>
        <w:t xml:space="preserve"> of the Conference of the States Parties to the United Nations Convention against Transnational Organized Crime for appropriate consideration and action. </w:t>
      </w:r>
      <w:bookmarkStart w:id="0" w:name="_GoBack"/>
      <w:bookmarkEnd w:id="0"/>
    </w:p>
    <w:p w14:paraId="337FEC8B" w14:textId="719C4450" w:rsidR="00AD5EFB" w:rsidRPr="00AD5EFB" w:rsidRDefault="00AD5EFB" w:rsidP="00AD5EFB">
      <w:pPr>
        <w:pStyle w:val="SingleTxt"/>
        <w:numPr>
          <w:ilvl w:val="0"/>
          <w:numId w:val="30"/>
        </w:numPr>
        <w:spacing w:before="120" w:after="0"/>
        <w:ind w:left="1264" w:firstLine="0"/>
        <w:rPr>
          <w:iCs/>
          <w:lang w:val="en-US"/>
        </w:rPr>
      </w:pPr>
      <w:r w:rsidRPr="00AD5EFB">
        <w:rPr>
          <w:iCs/>
          <w:lang w:val="en-US"/>
        </w:rPr>
        <w:t xml:space="preserve">It is also expected that governmental experts are not to be influenced in order to keep impartiality in their assessment of the implementation of the Convention. While information provided in the context of other relevant review mechanisms, to which the States parties concerned are also Parties, is to be taken into account, governmental experts shall make their own analysis of the facts provided by the State party under review in order to present findings that are in line with all the specific requirements of the provisions of the Convention and the Protocols under review. The State party under review shall bear in mind that any update since previous submissions of information under other review mechanisms are appropriately reflected in its responses. In particular, when reviewing the same legislation for obligations which are identical or similar to those under the United Nations </w:t>
      </w:r>
      <w:r w:rsidR="00692FB6">
        <w:rPr>
          <w:iCs/>
          <w:lang w:val="en-US"/>
        </w:rPr>
        <w:t>Convention against Corruption</w:t>
      </w:r>
      <w:r w:rsidR="00692FB6">
        <w:rPr>
          <w:rStyle w:val="FootnoteReference"/>
          <w:iCs/>
          <w:lang w:val="en-US"/>
        </w:rPr>
        <w:footnoteReference w:id="3"/>
      </w:r>
      <w:r w:rsidR="00692FB6">
        <w:rPr>
          <w:iCs/>
          <w:lang w:val="en-US"/>
        </w:rPr>
        <w:t xml:space="preserve">, </w:t>
      </w:r>
      <w:r w:rsidRPr="00AD5EFB">
        <w:rPr>
          <w:iCs/>
          <w:lang w:val="en-US"/>
        </w:rPr>
        <w:t xml:space="preserve">a State Party under review may </w:t>
      </w:r>
      <w:r w:rsidR="000E4326">
        <w:rPr>
          <w:iCs/>
          <w:lang w:val="en-US"/>
        </w:rPr>
        <w:t>provide as an annex</w:t>
      </w:r>
      <w:r w:rsidRPr="00AD5EFB">
        <w:rPr>
          <w:iCs/>
          <w:lang w:val="en-US"/>
        </w:rPr>
        <w:t xml:space="preserve"> responses and additional documentation that it has submitted under the review mechanism of the United Nations Convention against Corruption</w:t>
      </w:r>
      <w:r w:rsidR="000E4326">
        <w:rPr>
          <w:iCs/>
          <w:lang w:val="en-US"/>
        </w:rPr>
        <w:t>, with the relevant contextual explanation</w:t>
      </w:r>
      <w:r w:rsidRPr="00AD5EFB">
        <w:rPr>
          <w:iCs/>
          <w:lang w:val="en-US"/>
        </w:rPr>
        <w:t>.</w:t>
      </w:r>
    </w:p>
    <w:p w14:paraId="26A9258E" w14:textId="77777777" w:rsidR="00BF7F9C" w:rsidRPr="009953D4" w:rsidRDefault="00BF7F9C" w:rsidP="00BF7F9C">
      <w:pPr>
        <w:pStyle w:val="SingleTxt"/>
        <w:spacing w:after="0" w:line="120" w:lineRule="exact"/>
        <w:rPr>
          <w:sz w:val="10"/>
          <w:lang w:val="en-US"/>
        </w:rPr>
      </w:pPr>
    </w:p>
    <w:p w14:paraId="421277FA" w14:textId="77777777" w:rsidR="00BF7F9C" w:rsidRPr="00FA6E02" w:rsidRDefault="00BF7F9C" w:rsidP="00BF7F9C">
      <w:pPr>
        <w:pStyle w:val="SingleTxt"/>
        <w:spacing w:after="0" w:line="120" w:lineRule="exact"/>
        <w:rPr>
          <w:sz w:val="10"/>
        </w:rPr>
      </w:pPr>
    </w:p>
    <w:p w14:paraId="69554B33" w14:textId="3BB66508" w:rsidR="00BF7F9C" w:rsidRPr="00192891" w:rsidRDefault="00192891" w:rsidP="00D50618">
      <w:pPr>
        <w:pStyle w:val="H1"/>
        <w:ind w:left="1267" w:right="1260" w:hanging="1267"/>
        <w:rPr>
          <w:sz w:val="28"/>
          <w:szCs w:val="28"/>
        </w:rPr>
      </w:pPr>
      <w:r>
        <w:rPr>
          <w:sz w:val="28"/>
          <w:szCs w:val="28"/>
        </w:rPr>
        <w:tab/>
      </w:r>
      <w:r w:rsidR="00BF7F9C" w:rsidRPr="00192891">
        <w:rPr>
          <w:sz w:val="28"/>
          <w:szCs w:val="28"/>
        </w:rPr>
        <w:t xml:space="preserve">II. </w:t>
      </w:r>
      <w:r>
        <w:rPr>
          <w:sz w:val="28"/>
          <w:szCs w:val="28"/>
        </w:rPr>
        <w:tab/>
      </w:r>
      <w:r w:rsidR="00AD5EFB" w:rsidRPr="00AD5EFB">
        <w:rPr>
          <w:sz w:val="28"/>
          <w:szCs w:val="28"/>
        </w:rPr>
        <w:t>Specific guidance for the conduct of the review</w:t>
      </w:r>
    </w:p>
    <w:p w14:paraId="049ABE6E" w14:textId="77777777" w:rsidR="00BF7F9C" w:rsidRPr="00FA6E02" w:rsidRDefault="00BF7F9C" w:rsidP="00BF7F9C">
      <w:pPr>
        <w:pStyle w:val="SingleTxt"/>
        <w:spacing w:after="0" w:line="120" w:lineRule="exact"/>
        <w:rPr>
          <w:sz w:val="10"/>
        </w:rPr>
      </w:pPr>
    </w:p>
    <w:p w14:paraId="3F883E21" w14:textId="77777777" w:rsidR="00BF7F9C" w:rsidRPr="00FA6E02" w:rsidRDefault="00BF7F9C" w:rsidP="00844266">
      <w:pPr>
        <w:pStyle w:val="SingleTxt"/>
        <w:spacing w:after="0" w:line="120" w:lineRule="exact"/>
        <w:contextualSpacing/>
        <w:rPr>
          <w:sz w:val="10"/>
        </w:rPr>
      </w:pPr>
    </w:p>
    <w:p w14:paraId="059679B0" w14:textId="77777777" w:rsidR="00AD5EFB" w:rsidRPr="00844266" w:rsidRDefault="00AD5EFB" w:rsidP="00844266">
      <w:pPr>
        <w:pStyle w:val="SingleTxt"/>
        <w:numPr>
          <w:ilvl w:val="0"/>
          <w:numId w:val="30"/>
        </w:numPr>
        <w:spacing w:before="120" w:after="0"/>
        <w:ind w:left="1264" w:firstLine="0"/>
        <w:contextualSpacing/>
        <w:rPr>
          <w:iCs/>
          <w:lang w:val="en-US"/>
        </w:rPr>
      </w:pPr>
      <w:r w:rsidRPr="00844266">
        <w:rPr>
          <w:iCs/>
          <w:lang w:val="en-US"/>
        </w:rPr>
        <w:t>In accordance with the Procedures and rules for the functioning of the Mechanism for the Review of the Implementation of the United Nations Convention against Transnational Organized Crime and the Protocols thereto and consistent with the importance of ensuring the efficiency and effectiveness of the review process, reviews shall be conducted in a spirit of constructive collaboration, dialogue and mutual trust.</w:t>
      </w:r>
    </w:p>
    <w:p w14:paraId="4674738B" w14:textId="12F5A08F" w:rsidR="00AD5EFB" w:rsidRDefault="000E4326" w:rsidP="00844266">
      <w:pPr>
        <w:pStyle w:val="SingleTxt"/>
        <w:numPr>
          <w:ilvl w:val="0"/>
          <w:numId w:val="30"/>
        </w:numPr>
        <w:spacing w:before="120" w:after="0"/>
        <w:ind w:left="1264" w:firstLine="0"/>
        <w:rPr>
          <w:iCs/>
          <w:lang w:val="en-US"/>
        </w:rPr>
      </w:pPr>
      <w:r>
        <w:rPr>
          <w:iCs/>
          <w:lang w:val="en-US"/>
        </w:rPr>
        <w:t xml:space="preserve">In order to facilitate the efficiency of the review mechanism, </w:t>
      </w:r>
      <w:r w:rsidR="00AD5EFB" w:rsidRPr="00844266">
        <w:rPr>
          <w:iCs/>
          <w:lang w:val="en-US"/>
        </w:rPr>
        <w:t xml:space="preserve">States parties and the secretariat shall </w:t>
      </w:r>
      <w:r>
        <w:rPr>
          <w:iCs/>
          <w:lang w:val="en-US"/>
        </w:rPr>
        <w:t>make all efforts</w:t>
      </w:r>
      <w:r w:rsidRPr="00844266">
        <w:rPr>
          <w:iCs/>
          <w:lang w:val="en-US"/>
        </w:rPr>
        <w:t xml:space="preserve"> </w:t>
      </w:r>
      <w:r w:rsidR="00AD5EFB" w:rsidRPr="00844266">
        <w:rPr>
          <w:iCs/>
          <w:lang w:val="en-US"/>
        </w:rPr>
        <w:t>to adhere to the indicative timelines in the paragraphs below.</w:t>
      </w:r>
    </w:p>
    <w:p w14:paraId="18DEB70D" w14:textId="77777777" w:rsidR="00844266" w:rsidRPr="009953D4" w:rsidRDefault="00844266" w:rsidP="00844266">
      <w:pPr>
        <w:pStyle w:val="SingleTxt"/>
        <w:spacing w:after="0" w:line="120" w:lineRule="exact"/>
        <w:rPr>
          <w:sz w:val="10"/>
          <w:lang w:val="en-US"/>
        </w:rPr>
      </w:pPr>
    </w:p>
    <w:p w14:paraId="6D61CF5F" w14:textId="77777777" w:rsidR="00844266" w:rsidRPr="00FA6E02" w:rsidRDefault="00844266" w:rsidP="00844266">
      <w:pPr>
        <w:pStyle w:val="SingleTxt"/>
        <w:spacing w:after="0" w:line="120" w:lineRule="exact"/>
        <w:rPr>
          <w:sz w:val="10"/>
        </w:rPr>
      </w:pPr>
    </w:p>
    <w:p w14:paraId="68EC4FEA" w14:textId="14CB43BF" w:rsidR="00AD5EFB" w:rsidRDefault="00844266" w:rsidP="00AD5EFB">
      <w:pPr>
        <w:pStyle w:val="H1"/>
        <w:ind w:left="1267" w:right="1260" w:hanging="1267"/>
      </w:pPr>
      <w:r>
        <w:tab/>
      </w:r>
      <w:r w:rsidR="007F330C">
        <w:t>A.</w:t>
      </w:r>
      <w:r w:rsidR="007F330C">
        <w:tab/>
      </w:r>
      <w:r w:rsidR="00AD5EFB" w:rsidRPr="00AD5EFB">
        <w:t>Focal points</w:t>
      </w:r>
    </w:p>
    <w:p w14:paraId="5C5D5796" w14:textId="77777777" w:rsidR="00844266" w:rsidRPr="009953D4" w:rsidRDefault="00844266" w:rsidP="00844266">
      <w:pPr>
        <w:pStyle w:val="SingleTxt"/>
        <w:spacing w:after="0" w:line="120" w:lineRule="exact"/>
        <w:rPr>
          <w:sz w:val="10"/>
          <w:lang w:val="en-US"/>
        </w:rPr>
      </w:pPr>
    </w:p>
    <w:p w14:paraId="03F5FAE0" w14:textId="77777777" w:rsidR="00844266" w:rsidRPr="00FA6E02" w:rsidRDefault="00844266" w:rsidP="00844266">
      <w:pPr>
        <w:pStyle w:val="SingleTxt"/>
        <w:spacing w:after="0" w:line="120" w:lineRule="exact"/>
        <w:ind w:left="1277"/>
        <w:contextualSpacing/>
        <w:rPr>
          <w:sz w:val="10"/>
        </w:rPr>
      </w:pPr>
    </w:p>
    <w:p w14:paraId="17C4990C" w14:textId="1308F4DD" w:rsidR="00844266" w:rsidRDefault="00844266" w:rsidP="00844266">
      <w:pPr>
        <w:pStyle w:val="SingleTxt"/>
        <w:numPr>
          <w:ilvl w:val="0"/>
          <w:numId w:val="30"/>
        </w:numPr>
        <w:spacing w:before="120" w:after="0"/>
        <w:ind w:left="1264" w:firstLine="0"/>
        <w:contextualSpacing/>
        <w:rPr>
          <w:iCs/>
          <w:lang w:val="en-US"/>
        </w:rPr>
      </w:pPr>
      <w:r w:rsidRPr="00844266">
        <w:rPr>
          <w:iCs/>
          <w:lang w:val="en-US"/>
        </w:rPr>
        <w:t>Each State party shall appoint a focal point to coordinate it</w:t>
      </w:r>
      <w:r>
        <w:rPr>
          <w:iCs/>
          <w:lang w:val="en-US"/>
        </w:rPr>
        <w:t xml:space="preserve">s participation in the review, </w:t>
      </w:r>
      <w:r w:rsidRPr="00844266">
        <w:rPr>
          <w:iCs/>
          <w:lang w:val="en-US"/>
        </w:rPr>
        <w:t xml:space="preserve">and make this information available on SHERLOC </w:t>
      </w:r>
      <w:r w:rsidRPr="001C2301">
        <w:rPr>
          <w:b/>
          <w:bCs/>
          <w:iCs/>
          <w:lang w:val="en-US"/>
        </w:rPr>
        <w:t>two weeks</w:t>
      </w:r>
      <w:r w:rsidRPr="00844266">
        <w:rPr>
          <w:iCs/>
          <w:lang w:val="en-US"/>
        </w:rPr>
        <w:t xml:space="preserve"> after the launch of the review process. In </w:t>
      </w:r>
      <w:r w:rsidR="000E4326">
        <w:rPr>
          <w:iCs/>
          <w:lang w:val="en-US"/>
        </w:rPr>
        <w:t>the event that</w:t>
      </w:r>
      <w:r w:rsidR="000E4326" w:rsidRPr="00844266">
        <w:rPr>
          <w:iCs/>
          <w:lang w:val="en-US"/>
        </w:rPr>
        <w:t xml:space="preserve"> </w:t>
      </w:r>
      <w:r w:rsidRPr="00844266">
        <w:rPr>
          <w:iCs/>
          <w:lang w:val="en-US"/>
        </w:rPr>
        <w:t>a State party has not appointed a focal point by the time of the drawing of the lots, all communications will be submitted to its permanent representative</w:t>
      </w:r>
      <w:r w:rsidR="000D1C34">
        <w:rPr>
          <w:iCs/>
          <w:lang w:val="en-US"/>
        </w:rPr>
        <w:t xml:space="preserve"> to the United Nations (Vienna, Geneva or New York),</w:t>
      </w:r>
      <w:r w:rsidRPr="00844266">
        <w:rPr>
          <w:iCs/>
          <w:lang w:val="en-US"/>
        </w:rPr>
        <w:t xml:space="preserve"> who shall act as temporary focal point</w:t>
      </w:r>
      <w:r w:rsidR="000E4326">
        <w:rPr>
          <w:iCs/>
          <w:lang w:val="en-US"/>
        </w:rPr>
        <w:t xml:space="preserve"> until </w:t>
      </w:r>
      <w:r w:rsidR="000D1C34">
        <w:rPr>
          <w:iCs/>
          <w:lang w:val="en-US"/>
        </w:rPr>
        <w:t>it appoints a focal point</w:t>
      </w:r>
      <w:r w:rsidRPr="00844266">
        <w:rPr>
          <w:iCs/>
          <w:lang w:val="en-US"/>
        </w:rPr>
        <w:t xml:space="preserve">. </w:t>
      </w:r>
    </w:p>
    <w:p w14:paraId="45EF3548" w14:textId="77777777" w:rsidR="00844266" w:rsidRPr="009953D4" w:rsidRDefault="00844266" w:rsidP="00844266">
      <w:pPr>
        <w:pStyle w:val="SingleTxt"/>
        <w:spacing w:after="0" w:line="120" w:lineRule="exact"/>
        <w:rPr>
          <w:sz w:val="10"/>
          <w:lang w:val="en-US"/>
        </w:rPr>
      </w:pPr>
    </w:p>
    <w:p w14:paraId="04DBD3FE" w14:textId="77777777" w:rsidR="00844266" w:rsidRPr="00FA6E02" w:rsidRDefault="00844266" w:rsidP="00844266">
      <w:pPr>
        <w:pStyle w:val="SingleTxt"/>
        <w:spacing w:after="0" w:line="120" w:lineRule="exact"/>
        <w:contextualSpacing/>
        <w:rPr>
          <w:sz w:val="10"/>
        </w:rPr>
      </w:pPr>
    </w:p>
    <w:p w14:paraId="6CD69591" w14:textId="7B06E4FD" w:rsidR="00844266" w:rsidRDefault="00844266" w:rsidP="00844266">
      <w:pPr>
        <w:pStyle w:val="H1"/>
        <w:ind w:left="1267" w:right="1260" w:hanging="1267"/>
      </w:pPr>
      <w:r>
        <w:tab/>
      </w:r>
      <w:r w:rsidR="007F330C">
        <w:t>B.</w:t>
      </w:r>
      <w:r>
        <w:tab/>
      </w:r>
      <w:r w:rsidRPr="00844266">
        <w:t>Drawing of lots</w:t>
      </w:r>
    </w:p>
    <w:p w14:paraId="0F732014" w14:textId="77777777" w:rsidR="008B0412" w:rsidRPr="009953D4" w:rsidRDefault="008B0412" w:rsidP="008B0412">
      <w:pPr>
        <w:pStyle w:val="SingleTxt"/>
        <w:spacing w:after="0" w:line="120" w:lineRule="exact"/>
        <w:rPr>
          <w:sz w:val="10"/>
          <w:lang w:val="en-US"/>
        </w:rPr>
      </w:pPr>
    </w:p>
    <w:p w14:paraId="4EA2683F" w14:textId="77777777" w:rsidR="008B0412" w:rsidRPr="00FA6E02" w:rsidRDefault="008B0412" w:rsidP="008B0412">
      <w:pPr>
        <w:pStyle w:val="SingleTxt"/>
        <w:spacing w:after="0" w:line="120" w:lineRule="exact"/>
        <w:contextualSpacing/>
        <w:rPr>
          <w:sz w:val="10"/>
        </w:rPr>
      </w:pPr>
    </w:p>
    <w:p w14:paraId="0A81C224" w14:textId="6F110F82" w:rsidR="008B0412" w:rsidRPr="008B0412" w:rsidRDefault="008B0412" w:rsidP="008B0412">
      <w:pPr>
        <w:pStyle w:val="H1"/>
        <w:ind w:left="1267" w:right="1260" w:hanging="1267"/>
        <w:rPr>
          <w:i/>
          <w:iCs/>
          <w:sz w:val="20"/>
        </w:rPr>
      </w:pPr>
      <w:r>
        <w:tab/>
      </w:r>
      <w:r>
        <w:tab/>
      </w:r>
      <w:r w:rsidRPr="008B0412">
        <w:rPr>
          <w:i/>
          <w:iCs/>
          <w:sz w:val="20"/>
        </w:rPr>
        <w:t>Selection of States parties participating in the review</w:t>
      </w:r>
    </w:p>
    <w:p w14:paraId="42578AE0" w14:textId="77777777" w:rsidR="00844266" w:rsidRPr="009953D4" w:rsidRDefault="00844266" w:rsidP="00844266">
      <w:pPr>
        <w:pStyle w:val="SingleTxt"/>
        <w:spacing w:after="0" w:line="120" w:lineRule="exact"/>
        <w:rPr>
          <w:sz w:val="10"/>
          <w:lang w:val="en-US"/>
        </w:rPr>
      </w:pPr>
    </w:p>
    <w:p w14:paraId="33779874" w14:textId="77777777" w:rsidR="00844266" w:rsidRPr="00FA6E02" w:rsidRDefault="00844266" w:rsidP="00844266">
      <w:pPr>
        <w:pStyle w:val="SingleTxt"/>
        <w:spacing w:after="0" w:line="120" w:lineRule="exact"/>
        <w:contextualSpacing/>
        <w:rPr>
          <w:sz w:val="10"/>
        </w:rPr>
      </w:pPr>
    </w:p>
    <w:p w14:paraId="175035B7" w14:textId="79E03325" w:rsidR="00844266" w:rsidRPr="00844266" w:rsidRDefault="00844266" w:rsidP="00844266">
      <w:pPr>
        <w:pStyle w:val="SingleTxt"/>
        <w:numPr>
          <w:ilvl w:val="0"/>
          <w:numId w:val="30"/>
        </w:numPr>
        <w:spacing w:before="120" w:after="0"/>
        <w:ind w:left="1264" w:firstLine="0"/>
        <w:contextualSpacing/>
        <w:rPr>
          <w:iCs/>
          <w:lang w:val="en-US"/>
        </w:rPr>
      </w:pPr>
      <w:r w:rsidRPr="00844266">
        <w:rPr>
          <w:iCs/>
          <w:lang w:val="en-US"/>
        </w:rPr>
        <w:t>The selection of States parties participating in the country reviews shall be carried out by the drawing of lots at the beginning of the review process no later than two weeks after the launch of the review process, staggered in three consecutive years. Each year, one third of the States parties to the Convention will be selected to be reviewed for all the instruments they are parties to, in accordance with paragraphs 28 and 29 of the Procedures and rules. If possible, the number of States parties from each regional group to be selected for review in a given year shall be proportionate to the size of that regional group.</w:t>
      </w:r>
    </w:p>
    <w:p w14:paraId="2189B63A" w14:textId="7C7F8DFD" w:rsidR="00844266" w:rsidRPr="009953D4" w:rsidRDefault="00844266" w:rsidP="00844266">
      <w:pPr>
        <w:pStyle w:val="SingleTxt"/>
        <w:spacing w:after="0" w:line="120" w:lineRule="exact"/>
        <w:rPr>
          <w:sz w:val="10"/>
          <w:lang w:val="en-US"/>
        </w:rPr>
      </w:pPr>
      <w:r>
        <w:tab/>
      </w:r>
    </w:p>
    <w:p w14:paraId="11DE2972" w14:textId="77777777" w:rsidR="00C1566A" w:rsidRPr="00FA6E02" w:rsidRDefault="00C1566A" w:rsidP="00844266">
      <w:pPr>
        <w:pStyle w:val="SingleTxt"/>
        <w:spacing w:after="0" w:line="120" w:lineRule="exact"/>
        <w:contextualSpacing/>
        <w:rPr>
          <w:sz w:val="10"/>
        </w:rPr>
      </w:pPr>
    </w:p>
    <w:p w14:paraId="53744373" w14:textId="5479DE48" w:rsidR="00844266" w:rsidRPr="008B0412" w:rsidRDefault="00844266" w:rsidP="00844266">
      <w:pPr>
        <w:pStyle w:val="H1"/>
        <w:ind w:left="1267" w:right="1260" w:hanging="1267"/>
        <w:rPr>
          <w:i/>
          <w:iCs/>
          <w:sz w:val="20"/>
        </w:rPr>
      </w:pPr>
      <w:r>
        <w:tab/>
      </w:r>
      <w:r>
        <w:tab/>
      </w:r>
      <w:r w:rsidRPr="008B0412">
        <w:rPr>
          <w:i/>
          <w:iCs/>
          <w:sz w:val="20"/>
        </w:rPr>
        <w:t>Selection of reviewing States parties</w:t>
      </w:r>
    </w:p>
    <w:p w14:paraId="66596D3C" w14:textId="77777777" w:rsidR="00844266" w:rsidRPr="009953D4" w:rsidRDefault="00844266" w:rsidP="00844266">
      <w:pPr>
        <w:pStyle w:val="SingleTxt"/>
        <w:spacing w:after="0" w:line="120" w:lineRule="exact"/>
        <w:rPr>
          <w:sz w:val="10"/>
          <w:lang w:val="en-US"/>
        </w:rPr>
      </w:pPr>
    </w:p>
    <w:p w14:paraId="0FC07DFA" w14:textId="77777777" w:rsidR="00844266" w:rsidRPr="00FA6E02" w:rsidRDefault="00844266" w:rsidP="00CD3E58">
      <w:pPr>
        <w:pStyle w:val="SingleTxt"/>
        <w:spacing w:after="0" w:line="120" w:lineRule="exact"/>
        <w:contextualSpacing/>
        <w:rPr>
          <w:sz w:val="10"/>
        </w:rPr>
      </w:pPr>
    </w:p>
    <w:p w14:paraId="149E3B2B" w14:textId="77777777" w:rsidR="00844266" w:rsidRPr="00844266" w:rsidRDefault="00844266" w:rsidP="00CD3E58">
      <w:pPr>
        <w:pStyle w:val="SingleTxt"/>
        <w:numPr>
          <w:ilvl w:val="0"/>
          <w:numId w:val="30"/>
        </w:numPr>
        <w:spacing w:before="120" w:after="0"/>
        <w:ind w:left="1264" w:firstLine="0"/>
        <w:contextualSpacing/>
        <w:rPr>
          <w:iCs/>
          <w:lang w:val="en-US"/>
        </w:rPr>
      </w:pPr>
      <w:r w:rsidRPr="00844266">
        <w:rPr>
          <w:iCs/>
          <w:lang w:val="en-US"/>
        </w:rPr>
        <w:t>At the beginning of the review process, no later than six weeks after its launch, a joint intersessional meeting of the working groups without interpretation shall draw lots to select as reviewing States, one State from the regional group of the State party under review and one State from another regional group. The reviewing States shall serve as such for the duration of the review process for each State party under review through four subsequent review phases. The method for the drawing of lots will be based on the criteria indicated in paragraph 28, (a) to (f) of the Procedures and rules.</w:t>
      </w:r>
    </w:p>
    <w:p w14:paraId="594FB576" w14:textId="77777777" w:rsidR="00844266" w:rsidRPr="00844266" w:rsidRDefault="00844266" w:rsidP="00844266">
      <w:pPr>
        <w:pStyle w:val="SingleTxt"/>
        <w:numPr>
          <w:ilvl w:val="0"/>
          <w:numId w:val="30"/>
        </w:numPr>
        <w:spacing w:before="120" w:after="0"/>
        <w:ind w:left="1264" w:firstLine="0"/>
        <w:rPr>
          <w:iCs/>
          <w:lang w:val="en-US"/>
        </w:rPr>
      </w:pPr>
      <w:r w:rsidRPr="00844266">
        <w:rPr>
          <w:iCs/>
          <w:lang w:val="en-US"/>
        </w:rPr>
        <w:t xml:space="preserve">If a State party under review and the reviewing States request a redraw in accordance with paragraph 28 of the Procedures and rules, such a request should be made within two weeks after the drawing of lots.  The intersessional meeting for the redraw should be organized within four weeks after the initial drawing of lots. </w:t>
      </w:r>
    </w:p>
    <w:p w14:paraId="38947267" w14:textId="77777777" w:rsidR="00844266" w:rsidRPr="00CD3E58" w:rsidRDefault="00844266" w:rsidP="00CD3E58">
      <w:pPr>
        <w:pStyle w:val="SingleTxt"/>
        <w:numPr>
          <w:ilvl w:val="0"/>
          <w:numId w:val="30"/>
        </w:numPr>
        <w:spacing w:before="120" w:after="0"/>
        <w:ind w:left="1264" w:firstLine="0"/>
        <w:rPr>
          <w:iCs/>
          <w:lang w:val="en-US"/>
        </w:rPr>
      </w:pPr>
      <w:r w:rsidRPr="00CD3E58">
        <w:rPr>
          <w:iCs/>
          <w:lang w:val="en-US"/>
        </w:rPr>
        <w:t>If a reviewing State party is unable to carry out its duties as a reviewer, in accordance with the guiding principles of the Mechanism, as prescribed in paragraph 30 of the Procedures and rules the State party under review shall request, within two weeks after the drawing of lots, a consultation with that reviewing State party and the Secretariat with a view to addressing the concern. In the case that the States parties fail to resolve the issue through the consultation, the State party under review may request a redrawing of lots at any time. The redrawing of lots shall be held in any working group meeting and in accordance with the provisions of paragraph 28 of the Procedures and rules.</w:t>
      </w:r>
    </w:p>
    <w:p w14:paraId="0479DCCB" w14:textId="77777777" w:rsidR="00844266" w:rsidRPr="00CD3E58" w:rsidRDefault="00844266" w:rsidP="00CD3E58">
      <w:pPr>
        <w:pStyle w:val="SingleTxt"/>
        <w:numPr>
          <w:ilvl w:val="0"/>
          <w:numId w:val="30"/>
        </w:numPr>
        <w:spacing w:before="120" w:after="0"/>
        <w:ind w:left="1264" w:firstLine="0"/>
        <w:rPr>
          <w:iCs/>
          <w:lang w:val="en-US"/>
        </w:rPr>
      </w:pPr>
      <w:r w:rsidRPr="00CD3E58">
        <w:rPr>
          <w:iCs/>
          <w:lang w:val="en-US"/>
        </w:rPr>
        <w:t xml:space="preserve">The reviewing State Parties should designate governmental experts to carry out the country review two weeks after the drawing of lots. </w:t>
      </w:r>
    </w:p>
    <w:p w14:paraId="02685554" w14:textId="73617A43" w:rsidR="00844266" w:rsidRDefault="00844266" w:rsidP="00CD3E58">
      <w:pPr>
        <w:pStyle w:val="SingleTxt"/>
        <w:numPr>
          <w:ilvl w:val="0"/>
          <w:numId w:val="30"/>
        </w:numPr>
        <w:spacing w:before="120" w:after="0"/>
        <w:ind w:left="1264" w:firstLine="0"/>
        <w:rPr>
          <w:iCs/>
          <w:lang w:val="en-US"/>
        </w:rPr>
      </w:pPr>
      <w:r w:rsidRPr="00CD3E58">
        <w:rPr>
          <w:iCs/>
          <w:lang w:val="en-US"/>
        </w:rPr>
        <w:t>The Secretariat will send out the login credentials to focal points and national experts based on the results of the drawing of lots.</w:t>
      </w:r>
    </w:p>
    <w:p w14:paraId="0151B4D0" w14:textId="77777777" w:rsidR="00CD3E58" w:rsidRPr="009953D4" w:rsidRDefault="00CD3E58" w:rsidP="00CD3E58">
      <w:pPr>
        <w:pStyle w:val="SingleTxt"/>
        <w:spacing w:after="0" w:line="120" w:lineRule="exact"/>
        <w:rPr>
          <w:sz w:val="10"/>
          <w:lang w:val="en-US"/>
        </w:rPr>
      </w:pPr>
    </w:p>
    <w:p w14:paraId="369230FB" w14:textId="77777777" w:rsidR="00CD3E58" w:rsidRPr="00FA6E02" w:rsidRDefault="00CD3E58" w:rsidP="00CD3E58">
      <w:pPr>
        <w:pStyle w:val="SingleTxt"/>
        <w:spacing w:after="0" w:line="120" w:lineRule="exact"/>
        <w:contextualSpacing/>
        <w:rPr>
          <w:sz w:val="10"/>
        </w:rPr>
      </w:pPr>
    </w:p>
    <w:p w14:paraId="25AC7C6B" w14:textId="57CF5BD9" w:rsidR="00844266" w:rsidRDefault="00844266" w:rsidP="00844266">
      <w:pPr>
        <w:pStyle w:val="H1"/>
        <w:ind w:left="1267" w:right="1260" w:hanging="1267"/>
      </w:pPr>
      <w:r>
        <w:tab/>
      </w:r>
      <w:r w:rsidR="007F330C">
        <w:t>C.</w:t>
      </w:r>
      <w:r>
        <w:tab/>
      </w:r>
      <w:r w:rsidR="008B0412">
        <w:t>Preparation by governmental experts</w:t>
      </w:r>
    </w:p>
    <w:p w14:paraId="4B86A624" w14:textId="77777777" w:rsidR="00CD3E58" w:rsidRPr="009953D4" w:rsidRDefault="00CD3E58" w:rsidP="00CD3E58">
      <w:pPr>
        <w:pStyle w:val="SingleTxt"/>
        <w:spacing w:after="0" w:line="120" w:lineRule="exact"/>
        <w:rPr>
          <w:sz w:val="10"/>
          <w:lang w:val="en-US"/>
        </w:rPr>
      </w:pPr>
    </w:p>
    <w:p w14:paraId="07A09936" w14:textId="77777777" w:rsidR="00CD3E58" w:rsidRPr="00FA6E02" w:rsidRDefault="00CD3E58" w:rsidP="00CD3E58">
      <w:pPr>
        <w:pStyle w:val="SingleTxt"/>
        <w:spacing w:after="0" w:line="120" w:lineRule="exact"/>
        <w:contextualSpacing/>
        <w:rPr>
          <w:sz w:val="10"/>
        </w:rPr>
      </w:pPr>
    </w:p>
    <w:p w14:paraId="46C9A7B2" w14:textId="77777777" w:rsidR="00CD3E58" w:rsidRPr="00CD3E58" w:rsidRDefault="00CD3E58" w:rsidP="00CD3E58">
      <w:pPr>
        <w:pStyle w:val="SingleTxt"/>
        <w:numPr>
          <w:ilvl w:val="0"/>
          <w:numId w:val="30"/>
        </w:numPr>
        <w:spacing w:before="120" w:after="0"/>
        <w:ind w:left="1264" w:firstLine="0"/>
        <w:contextualSpacing/>
        <w:rPr>
          <w:iCs/>
          <w:lang w:val="en-US"/>
        </w:rPr>
      </w:pPr>
      <w:r w:rsidRPr="00CD3E58">
        <w:rPr>
          <w:iCs/>
          <w:lang w:val="en-US"/>
        </w:rPr>
        <w:t xml:space="preserve">The governmental experts shall prepare themselves by: </w:t>
      </w:r>
    </w:p>
    <w:p w14:paraId="2157A5A1" w14:textId="29A91021" w:rsidR="00BF7F9C" w:rsidRPr="00BA78E3" w:rsidRDefault="00BA78E3" w:rsidP="00CD3E58">
      <w:pPr>
        <w:pStyle w:val="SingleTxt"/>
        <w:spacing w:before="120"/>
        <w:rPr>
          <w:lang w:val="en-US"/>
        </w:rPr>
      </w:pPr>
      <w:r>
        <w:rPr>
          <w:lang w:val="en-US"/>
        </w:rPr>
        <w:tab/>
      </w:r>
      <w:r>
        <w:rPr>
          <w:lang w:val="en-US"/>
        </w:rPr>
        <w:tab/>
      </w:r>
      <w:r w:rsidR="00BF7F9C" w:rsidRPr="00BA78E3">
        <w:rPr>
          <w:lang w:val="en-US"/>
        </w:rPr>
        <w:t xml:space="preserve">(a) </w:t>
      </w:r>
      <w:r>
        <w:rPr>
          <w:lang w:val="en-US"/>
        </w:rPr>
        <w:tab/>
      </w:r>
      <w:r w:rsidR="00CD3E58" w:rsidRPr="00CD3E58">
        <w:rPr>
          <w:lang w:val="en-US"/>
        </w:rPr>
        <w:t>Studying thoroughly the Convention and the Protocols thereto, as well as the present Procedures and rules for the functioning of the Mechanism for the Review of the Implementation of the United Nations Convention against Transnational Organized Crime and the Protocols thereto;</w:t>
      </w:r>
    </w:p>
    <w:p w14:paraId="3A79C929" w14:textId="06C12D72" w:rsidR="00BF7F9C" w:rsidRPr="00BA78E3" w:rsidRDefault="00BA78E3" w:rsidP="00BA78E3">
      <w:pPr>
        <w:pStyle w:val="SingleTxt"/>
        <w:rPr>
          <w:lang w:val="en-US"/>
        </w:rPr>
      </w:pPr>
      <w:r>
        <w:rPr>
          <w:lang w:val="en-US"/>
        </w:rPr>
        <w:tab/>
      </w:r>
      <w:r>
        <w:rPr>
          <w:lang w:val="en-US"/>
        </w:rPr>
        <w:tab/>
      </w:r>
      <w:r w:rsidR="00BF7F9C" w:rsidRPr="00BA78E3">
        <w:rPr>
          <w:lang w:val="en-US"/>
        </w:rPr>
        <w:t xml:space="preserve">(b) </w:t>
      </w:r>
      <w:r>
        <w:rPr>
          <w:lang w:val="en-US"/>
        </w:rPr>
        <w:tab/>
      </w:r>
      <w:r w:rsidR="00CD3E58" w:rsidRPr="00CD3E58">
        <w:rPr>
          <w:lang w:val="en-US"/>
        </w:rPr>
        <w:t>Familiarizing themselves with the Legislative guides for the Implementation of the United Nations Convention against Transnational Organized</w:t>
      </w:r>
      <w:r w:rsidR="00CD3E58">
        <w:rPr>
          <w:lang w:val="en-US"/>
        </w:rPr>
        <w:t xml:space="preserve"> Crime and the three Protocols</w:t>
      </w:r>
      <w:r w:rsidR="00BF2EEB">
        <w:rPr>
          <w:rStyle w:val="FootnoteReference"/>
          <w:lang w:val="en-US"/>
        </w:rPr>
        <w:footnoteReference w:id="4"/>
      </w:r>
      <w:r w:rsidR="00CD3E58">
        <w:rPr>
          <w:lang w:val="en-US"/>
        </w:rPr>
        <w:t xml:space="preserve"> </w:t>
      </w:r>
      <w:r w:rsidR="00CD3E58" w:rsidRPr="00CD3E58">
        <w:rPr>
          <w:lang w:val="en-US"/>
        </w:rPr>
        <w:t>and with the official records (</w:t>
      </w:r>
      <w:r w:rsidR="00CD3E58" w:rsidRPr="008B0412">
        <w:rPr>
          <w:i/>
          <w:iCs/>
          <w:lang w:val="en-US"/>
        </w:rPr>
        <w:t xml:space="preserve">travaux </w:t>
      </w:r>
      <w:proofErr w:type="spellStart"/>
      <w:r w:rsidR="00CD3E58" w:rsidRPr="008B0412">
        <w:rPr>
          <w:i/>
          <w:iCs/>
          <w:lang w:val="en-US"/>
        </w:rPr>
        <w:t>préparatoires</w:t>
      </w:r>
      <w:proofErr w:type="spellEnd"/>
      <w:r w:rsidR="00CD3E58" w:rsidRPr="008B0412">
        <w:rPr>
          <w:i/>
          <w:iCs/>
          <w:lang w:val="en-US"/>
        </w:rPr>
        <w:t>)</w:t>
      </w:r>
      <w:r w:rsidR="00CD3E58" w:rsidRPr="00CD3E58">
        <w:rPr>
          <w:lang w:val="en-US"/>
        </w:rPr>
        <w:t xml:space="preserve"> of the negotiation of the Convent</w:t>
      </w:r>
      <w:r w:rsidR="00CD3E58">
        <w:rPr>
          <w:lang w:val="en-US"/>
        </w:rPr>
        <w:t>ion and the Protocols thereto</w:t>
      </w:r>
      <w:r w:rsidR="00BF2EEB">
        <w:rPr>
          <w:rStyle w:val="FootnoteReference"/>
          <w:lang w:val="en-US"/>
        </w:rPr>
        <w:footnoteReference w:id="5"/>
      </w:r>
      <w:r w:rsidR="00CD3E58">
        <w:rPr>
          <w:lang w:val="en-US"/>
        </w:rPr>
        <w:t xml:space="preserve">, </w:t>
      </w:r>
      <w:r w:rsidR="00CD3E58" w:rsidRPr="00CD3E58">
        <w:rPr>
          <w:lang w:val="en-US"/>
        </w:rPr>
        <w:t>particularly those parts pertaining to the articles that are the subject of the relevant review phase;</w:t>
      </w:r>
    </w:p>
    <w:p w14:paraId="6D270228" w14:textId="126FE77D" w:rsidR="00BF7F9C" w:rsidRPr="00BA78E3" w:rsidRDefault="00BA78E3" w:rsidP="00BA78E3">
      <w:pPr>
        <w:pStyle w:val="SingleTxt"/>
        <w:rPr>
          <w:lang w:val="en-US"/>
        </w:rPr>
      </w:pPr>
      <w:r>
        <w:rPr>
          <w:lang w:val="en-US"/>
        </w:rPr>
        <w:tab/>
      </w:r>
      <w:r>
        <w:rPr>
          <w:lang w:val="en-US"/>
        </w:rPr>
        <w:tab/>
      </w:r>
      <w:r w:rsidR="00BF7F9C" w:rsidRPr="00BA78E3">
        <w:rPr>
          <w:lang w:val="en-US"/>
        </w:rPr>
        <w:t xml:space="preserve">(c) </w:t>
      </w:r>
      <w:r>
        <w:rPr>
          <w:lang w:val="en-US"/>
        </w:rPr>
        <w:tab/>
      </w:r>
      <w:r w:rsidR="00CD3E58" w:rsidRPr="00CD3E58">
        <w:rPr>
          <w:lang w:val="en-US"/>
        </w:rPr>
        <w:t>Reviewing the responses provided by the State party under review in its self-assessment questionnaire for the review of implementation of each instrument, as well as supplementary documentation, as appropriate, and familiarizing themselves with the issues addressed by the State party under review;</w:t>
      </w:r>
    </w:p>
    <w:p w14:paraId="0C8AB7B0" w14:textId="66D9891C" w:rsidR="00BF7F9C" w:rsidRDefault="00BA78E3" w:rsidP="007A23C1">
      <w:pPr>
        <w:pStyle w:val="SingleTxt"/>
        <w:contextualSpacing/>
        <w:rPr>
          <w:lang w:val="en-US"/>
        </w:rPr>
      </w:pPr>
      <w:r>
        <w:rPr>
          <w:lang w:val="en-US"/>
        </w:rPr>
        <w:tab/>
      </w:r>
      <w:r>
        <w:rPr>
          <w:lang w:val="en-US"/>
        </w:rPr>
        <w:tab/>
      </w:r>
      <w:r w:rsidR="00BF7F9C" w:rsidRPr="00BA78E3">
        <w:rPr>
          <w:lang w:val="en-US"/>
        </w:rPr>
        <w:t xml:space="preserve">(d) </w:t>
      </w:r>
      <w:r>
        <w:rPr>
          <w:lang w:val="en-US"/>
        </w:rPr>
        <w:tab/>
      </w:r>
      <w:r w:rsidR="00CD3E58" w:rsidRPr="00CD3E58">
        <w:rPr>
          <w:lang w:val="en-US"/>
        </w:rPr>
        <w:t>Submitting to the State party under review requests for clarification or additional information, or supplementary questions to which the State party under review is encouraged to respond.</w:t>
      </w:r>
    </w:p>
    <w:p w14:paraId="0A908AE9" w14:textId="77777777" w:rsidR="007A23C1" w:rsidRPr="00FA6E02" w:rsidRDefault="007A23C1" w:rsidP="007A23C1">
      <w:pPr>
        <w:pStyle w:val="SingleTxt"/>
        <w:spacing w:after="0" w:line="120" w:lineRule="exact"/>
        <w:contextualSpacing/>
        <w:rPr>
          <w:sz w:val="10"/>
        </w:rPr>
      </w:pPr>
    </w:p>
    <w:p w14:paraId="662DCB6F" w14:textId="12E8BB45" w:rsidR="007A23C1" w:rsidRDefault="007A23C1" w:rsidP="007A23C1">
      <w:pPr>
        <w:pStyle w:val="SingleTxt"/>
        <w:spacing w:after="0" w:line="120" w:lineRule="exact"/>
        <w:contextualSpacing/>
        <w:rPr>
          <w:sz w:val="10"/>
        </w:rPr>
      </w:pPr>
    </w:p>
    <w:p w14:paraId="5FE10310" w14:textId="64C5812B" w:rsidR="00CD3E58" w:rsidRDefault="00CD3E58" w:rsidP="00CD3E58">
      <w:pPr>
        <w:pStyle w:val="H1"/>
        <w:ind w:left="1267" w:right="1260" w:hanging="1267"/>
      </w:pPr>
      <w:r>
        <w:tab/>
      </w:r>
      <w:r w:rsidR="007F330C">
        <w:t>D.</w:t>
      </w:r>
      <w:r>
        <w:tab/>
      </w:r>
      <w:r w:rsidRPr="00CD3E58">
        <w:t>Country review</w:t>
      </w:r>
    </w:p>
    <w:p w14:paraId="2BBE08F1" w14:textId="77777777" w:rsidR="00BF7F9C" w:rsidRPr="00FA6E02" w:rsidRDefault="00BF7F9C" w:rsidP="00BF7F9C">
      <w:pPr>
        <w:pStyle w:val="SingleTxt"/>
        <w:spacing w:after="0" w:line="120" w:lineRule="exact"/>
        <w:rPr>
          <w:sz w:val="10"/>
        </w:rPr>
      </w:pPr>
    </w:p>
    <w:p w14:paraId="3469D55A" w14:textId="77777777" w:rsidR="00BF7F9C" w:rsidRPr="00FA6E02" w:rsidRDefault="00BF7F9C" w:rsidP="00BF2EEB">
      <w:pPr>
        <w:pStyle w:val="SingleTxt"/>
        <w:spacing w:after="0" w:line="120" w:lineRule="exact"/>
        <w:contextualSpacing/>
        <w:rPr>
          <w:sz w:val="10"/>
        </w:rPr>
      </w:pPr>
    </w:p>
    <w:p w14:paraId="07017784" w14:textId="2562BF7B" w:rsidR="00BF7F9C" w:rsidRPr="00CD3E58" w:rsidRDefault="00CD3E58" w:rsidP="00BF2EEB">
      <w:pPr>
        <w:pStyle w:val="SingleTxt"/>
        <w:numPr>
          <w:ilvl w:val="0"/>
          <w:numId w:val="30"/>
        </w:numPr>
        <w:spacing w:before="120" w:after="0"/>
        <w:ind w:left="1264" w:firstLine="0"/>
        <w:contextualSpacing/>
        <w:rPr>
          <w:iCs/>
          <w:lang w:val="en-US"/>
        </w:rPr>
      </w:pPr>
      <w:r w:rsidRPr="00CD3E58">
        <w:rPr>
          <w:iCs/>
          <w:lang w:val="en-US"/>
        </w:rPr>
        <w:t>Governmental experts from the reviewing States parties with expertise related to the instrument under review shall make a decision on how to divide tasks and issues among themselves, taking into account their respective fields of competence.</w:t>
      </w:r>
    </w:p>
    <w:p w14:paraId="25255A8B" w14:textId="0C775D5F" w:rsidR="00BF7F9C" w:rsidRDefault="00CD3E58" w:rsidP="00CD3E58">
      <w:pPr>
        <w:pStyle w:val="SingleTxt"/>
        <w:numPr>
          <w:ilvl w:val="0"/>
          <w:numId w:val="30"/>
        </w:numPr>
        <w:spacing w:before="120" w:after="0"/>
        <w:ind w:left="1264" w:firstLine="0"/>
        <w:rPr>
          <w:iCs/>
          <w:lang w:val="en-US"/>
        </w:rPr>
      </w:pPr>
      <w:r w:rsidRPr="00CD3E58">
        <w:rPr>
          <w:iCs/>
          <w:lang w:val="en-US"/>
        </w:rPr>
        <w:t xml:space="preserve">The State party under review shall undertake consultations with the reviewing States parties within six weeks after the drawing of lots, through their focal points, with the assistance of the Secretariat, on the establishment of timeframes and the requirements of the country review, in accordance with the present guidelines for conducting the country reviews, including the selection of the working language or languages, in accordance with section VII of the procedures and </w:t>
      </w:r>
      <w:r w:rsidR="00BF2EEB">
        <w:rPr>
          <w:iCs/>
          <w:lang w:val="en-US"/>
        </w:rPr>
        <w:t xml:space="preserve">rules of the review mechanism. </w:t>
      </w:r>
    </w:p>
    <w:p w14:paraId="5A45CA5F" w14:textId="22A5057C" w:rsidR="00BF2EEB" w:rsidRDefault="00BF2EEB" w:rsidP="00BF2EEB">
      <w:pPr>
        <w:pStyle w:val="SingleTxt"/>
        <w:numPr>
          <w:ilvl w:val="0"/>
          <w:numId w:val="30"/>
        </w:numPr>
        <w:spacing w:before="120" w:after="0"/>
        <w:ind w:left="1264" w:firstLine="0"/>
        <w:rPr>
          <w:iCs/>
          <w:lang w:val="en-US"/>
        </w:rPr>
      </w:pPr>
      <w:r w:rsidRPr="00BF2EEB">
        <w:rPr>
          <w:iCs/>
          <w:lang w:val="en-US"/>
        </w:rPr>
        <w:t>Within a reasonable timeframe, to be mutually agreed by the parties involved, not exceeding six months after the launch of the review phase, the State party under review shall provide to the reviewing States parties complete, up-to-date and accurate responses to the self-assessment questionnaires for the review of implementation of each instrument, in one of the working languages of the review mechanism, in accordance with section VII of the Procedures and Rules. Such responses shall be provided through the secure module of SHERLOC, established in accordance with paragraph 21 of the Procedures and rules of the review mechanism. Upon request, the Secretariat shall facilitate the States parties uploading information including by assisting them with e-training, instructions, advice, credentials.</w:t>
      </w:r>
    </w:p>
    <w:p w14:paraId="250F4031" w14:textId="5EA53A32" w:rsidR="00BF7F9C" w:rsidRDefault="00BF2EEB" w:rsidP="00BF2EEB">
      <w:pPr>
        <w:pStyle w:val="SingleTxt"/>
        <w:numPr>
          <w:ilvl w:val="0"/>
          <w:numId w:val="30"/>
        </w:numPr>
        <w:spacing w:before="120" w:after="0"/>
        <w:ind w:left="1264" w:firstLine="0"/>
        <w:rPr>
          <w:iCs/>
          <w:lang w:val="en-US"/>
        </w:rPr>
      </w:pPr>
      <w:r w:rsidRPr="00BF2EEB">
        <w:rPr>
          <w:iCs/>
          <w:lang w:val="en-US"/>
        </w:rPr>
        <w:t>The State party under review is encouraged to prepare its responses to the respective self-assessment questionnaire through broad consultations at the national level with all relevant stakeholders, including, where appropriate, the private sector, individuals and groups outside the public sector, non-governmental organizations and academia, taking into consideration the specificities of the Convention and the Protocols thereto.</w:t>
      </w:r>
    </w:p>
    <w:p w14:paraId="03B688A7" w14:textId="45C2EA8B" w:rsidR="00BF2EEB" w:rsidRPr="00BF2EEB" w:rsidRDefault="00BF2EEB" w:rsidP="00BF2EEB">
      <w:pPr>
        <w:pStyle w:val="SingleTxt"/>
        <w:numPr>
          <w:ilvl w:val="0"/>
          <w:numId w:val="30"/>
        </w:numPr>
        <w:spacing w:before="120" w:after="0"/>
        <w:ind w:left="1264" w:firstLine="0"/>
        <w:rPr>
          <w:iCs/>
          <w:lang w:val="en-US"/>
        </w:rPr>
      </w:pPr>
      <w:r>
        <w:t>Upon request and subject to relevant arrangements on the working language(s) of the review process</w:t>
      </w:r>
      <w:r w:rsidR="008B0412">
        <w:t xml:space="preserve"> and availability of voluntary contributions</w:t>
      </w:r>
      <w:r>
        <w:t>, the Secretariat shall be responsible for providing the required translation of the responses to the self-assessment questionnaires as necessary for the effective functioning of the review mechanism.</w:t>
      </w:r>
    </w:p>
    <w:p w14:paraId="3C23B8AA" w14:textId="6261ADCF" w:rsidR="00BF2EEB" w:rsidRPr="00BF2EEB" w:rsidRDefault="00BF2EEB" w:rsidP="00BF2EEB">
      <w:pPr>
        <w:pStyle w:val="SingleTxt"/>
        <w:numPr>
          <w:ilvl w:val="0"/>
          <w:numId w:val="30"/>
        </w:numPr>
        <w:spacing w:before="120" w:after="0"/>
        <w:ind w:left="1264" w:firstLine="0"/>
        <w:rPr>
          <w:iCs/>
          <w:lang w:val="en-US"/>
        </w:rPr>
      </w:pPr>
      <w:r>
        <w:t xml:space="preserve">Throughout the process, the governmental experts shall give appropriate consideration to the information and material provided by the State party under review. When submitting </w:t>
      </w:r>
      <w:r w:rsidRPr="00A578C7">
        <w:t>requests for clarification or additional information, or supplementary questions</w:t>
      </w:r>
      <w:r>
        <w:t>, governmental experts shall bear in mind the non-adversarial, non- intrusive and non-punitive character of the review and the overall goal of assisting the State party under review in reaching full implementation of the Convention and the Protocols thereto.</w:t>
      </w:r>
    </w:p>
    <w:p w14:paraId="5855C321" w14:textId="4577C9BF" w:rsidR="00BF2EEB" w:rsidRPr="00BF2EEB" w:rsidRDefault="00BF2EEB" w:rsidP="00BF2EEB">
      <w:pPr>
        <w:pStyle w:val="SingleTxt"/>
        <w:numPr>
          <w:ilvl w:val="0"/>
          <w:numId w:val="30"/>
        </w:numPr>
        <w:spacing w:before="120" w:after="0"/>
        <w:ind w:left="1264" w:firstLine="0"/>
        <w:rPr>
          <w:iCs/>
          <w:lang w:val="en-US"/>
        </w:rPr>
      </w:pPr>
      <w:r w:rsidRPr="00BA048A">
        <w:t>Within a reasonable timeframe, not exceeding six months, of the receipt of the responses to the self-assessment questionnaires from the State party under review, the reviewing States parties shall submit to the State party under review written feedback on the measures taken in the implementation of the Convention and the relevant Protocols, as well as on successes and chal</w:t>
      </w:r>
      <w:r>
        <w:t>lenges of such implementation. In line with paragraph 16 above, t</w:t>
      </w:r>
      <w:r w:rsidRPr="00BA048A">
        <w:t xml:space="preserve">he feedback may also contain, where necessary, requests for clarification or additional information, or supplementary questions to which the State party under review is encouraged to respond. </w:t>
      </w:r>
      <w:r>
        <w:t>The written feedback shall not exceed 10,500 words in length.</w:t>
      </w:r>
      <w:r>
        <w:rPr>
          <w:rStyle w:val="FootnoteReference"/>
        </w:rPr>
        <w:footnoteReference w:id="6"/>
      </w:r>
    </w:p>
    <w:p w14:paraId="123C727A" w14:textId="3A3909AF" w:rsidR="00BF2EEB" w:rsidRPr="00BF2EEB" w:rsidRDefault="00BF2EEB" w:rsidP="00BF2EEB">
      <w:pPr>
        <w:pStyle w:val="SingleTxt"/>
        <w:numPr>
          <w:ilvl w:val="0"/>
          <w:numId w:val="30"/>
        </w:numPr>
        <w:spacing w:before="120" w:after="0"/>
        <w:ind w:left="1264" w:firstLine="0"/>
        <w:rPr>
          <w:iCs/>
          <w:lang w:val="en-US"/>
        </w:rPr>
      </w:pPr>
      <w:r>
        <w:t>During the desk review, governmental experts shall avoid duplicating texts already contained in the self-assessment questionnaires. The desk review is to be concise and factual and is to include solid reasoning for the outcome of the desk review. Objective and impersonal language will aid understanding. When abbreviations and acronyms are used, these shall be defined upon their first use.</w:t>
      </w:r>
    </w:p>
    <w:p w14:paraId="3935629B" w14:textId="0F71283F" w:rsidR="00BF2EEB" w:rsidRPr="00BF2EEB" w:rsidRDefault="00BF2EEB" w:rsidP="00BF2EEB">
      <w:pPr>
        <w:pStyle w:val="SingleTxt"/>
        <w:numPr>
          <w:ilvl w:val="0"/>
          <w:numId w:val="30"/>
        </w:numPr>
        <w:spacing w:before="120" w:after="0"/>
        <w:ind w:left="1264" w:firstLine="0"/>
        <w:rPr>
          <w:iCs/>
          <w:lang w:val="en-US"/>
        </w:rPr>
      </w:pPr>
      <w:r>
        <w:t xml:space="preserve">After the State party under review receives the </w:t>
      </w:r>
      <w:r w:rsidR="008B0412">
        <w:t>written feedback</w:t>
      </w:r>
      <w:r>
        <w:t>, a</w:t>
      </w:r>
      <w:r w:rsidRPr="00BA048A">
        <w:t xml:space="preserve"> constructive dialogue between the State party under review and the reviewing States parties shall </w:t>
      </w:r>
      <w:r>
        <w:t xml:space="preserve">take place and shall </w:t>
      </w:r>
      <w:r w:rsidRPr="00BA048A">
        <w:t xml:space="preserve">be guided by the principles and characteristics set forth in Section II </w:t>
      </w:r>
      <w:r>
        <w:t>of the Procedures and rules of the review mechanism, as well as the provision</w:t>
      </w:r>
      <w:r w:rsidRPr="00BA048A">
        <w:t xml:space="preserve"> set forth in Section III</w:t>
      </w:r>
      <w:r>
        <w:t xml:space="preserve">. </w:t>
      </w:r>
      <w:r w:rsidRPr="00781144">
        <w:t>and shall be archived in the designated confidential module in SHERLOC</w:t>
      </w:r>
      <w:r>
        <w:t>.</w:t>
      </w:r>
    </w:p>
    <w:p w14:paraId="34444186" w14:textId="71577E7B" w:rsidR="00CB0600" w:rsidRPr="00CB0600" w:rsidRDefault="00BF2EEB" w:rsidP="00FF1923">
      <w:pPr>
        <w:pStyle w:val="SingleTxt"/>
        <w:numPr>
          <w:ilvl w:val="0"/>
          <w:numId w:val="30"/>
        </w:numPr>
        <w:spacing w:before="120" w:after="0"/>
        <w:ind w:left="1264" w:firstLine="0"/>
        <w:rPr>
          <w:iCs/>
          <w:lang w:val="en-US"/>
        </w:rPr>
      </w:pPr>
      <w:r w:rsidRPr="00635B7F">
        <w:t>At the final stage of each review phase for each State party, the reviewing States, in close cooperation and coordination with the State party under review, and with the assistance of the Secretariat, shall prepare</w:t>
      </w:r>
      <w:r w:rsidRPr="005D1001">
        <w:t>, in the designated language or languages of the review,</w:t>
      </w:r>
      <w:r w:rsidRPr="00635B7F">
        <w:t xml:space="preserve"> a list of observations </w:t>
      </w:r>
      <w:r>
        <w:t xml:space="preserve">of no more than 8,500 words </w:t>
      </w:r>
      <w:r w:rsidRPr="00635B7F">
        <w:t xml:space="preserve">indicating any gaps and challenges in the implementation of the provisions under review, best practices, suggestions and any technical assistance needs identified to improve implementation of the Conventions and its Protocols. </w:t>
      </w:r>
      <w:r w:rsidR="00CB0600" w:rsidRPr="00CB0600">
        <w:rPr>
          <w:lang w:val="en-US"/>
        </w:rPr>
        <w:t>Such</w:t>
      </w:r>
      <w:r w:rsidR="00CB0600">
        <w:t xml:space="preserve"> list </w:t>
      </w:r>
      <w:r w:rsidR="00CB0600" w:rsidRPr="00635B7F">
        <w:t xml:space="preserve">shall follow the blueprint format </w:t>
      </w:r>
      <w:r w:rsidR="00CB0600">
        <w:t>for the list of observations and summaries</w:t>
      </w:r>
      <w:r w:rsidR="00CB0600" w:rsidRPr="00635B7F">
        <w:t>, be precise and concise, and be based on the responses to the self-assessment question</w:t>
      </w:r>
      <w:r w:rsidR="00CB0600">
        <w:t>naire and ensuing dialogue. The</w:t>
      </w:r>
      <w:r w:rsidR="00CB0600" w:rsidRPr="00635B7F">
        <w:t xml:space="preserve"> document </w:t>
      </w:r>
      <w:r w:rsidR="00CB0600">
        <w:t xml:space="preserve">containing the list </w:t>
      </w:r>
      <w:r w:rsidR="00CB0600" w:rsidRPr="00635B7F">
        <w:t xml:space="preserve">shall be made available to the working groups as a conference room paper, unless, in exceptional circumstances, the State Party under review decides to keep some parts of the list confidential. </w:t>
      </w:r>
    </w:p>
    <w:p w14:paraId="6C74D57C" w14:textId="13B57B34" w:rsidR="00CB0600" w:rsidRPr="00481C53" w:rsidRDefault="00CB0600" w:rsidP="00CB0600">
      <w:pPr>
        <w:pStyle w:val="SingleTxt"/>
        <w:numPr>
          <w:ilvl w:val="0"/>
          <w:numId w:val="30"/>
        </w:numPr>
        <w:spacing w:before="120" w:after="0"/>
        <w:ind w:left="1264" w:firstLine="0"/>
        <w:rPr>
          <w:iCs/>
          <w:lang w:val="en-US"/>
        </w:rPr>
      </w:pPr>
      <w:r w:rsidRPr="00635B7F">
        <w:t xml:space="preserve">At the end of each phase, a summary of the lists of observations, not exceeding 1,500 words and based on the same blueprint, shall be </w:t>
      </w:r>
      <w:r>
        <w:t xml:space="preserve">elaborated by the Secretariat, </w:t>
      </w:r>
      <w:r w:rsidRPr="00635B7F">
        <w:t>translated into the six official languages of the United Nations and be made available to the Conference and its working groups.</w:t>
      </w:r>
    </w:p>
    <w:p w14:paraId="32FD969F" w14:textId="39927E08" w:rsidR="00BF2EEB" w:rsidRPr="00BF2EEB" w:rsidRDefault="00BF2EEB" w:rsidP="00BF2EEB">
      <w:pPr>
        <w:pStyle w:val="SingleTxt"/>
        <w:numPr>
          <w:ilvl w:val="0"/>
          <w:numId w:val="30"/>
        </w:numPr>
        <w:spacing w:before="120" w:after="0"/>
        <w:ind w:left="1264" w:firstLine="0"/>
        <w:rPr>
          <w:iCs/>
          <w:lang w:val="en-US"/>
        </w:rPr>
      </w:pPr>
      <w:r w:rsidRPr="00FE4FD7">
        <w:t xml:space="preserve">The list of observations, gaps, challenges, best practices, suggestions and, when necessary, technical assistance needs and the summaries shall be finalized upon agreement between the reviewing States Parties and the State Party under review. </w:t>
      </w:r>
    </w:p>
    <w:p w14:paraId="5C87AFD1" w14:textId="47D1DF2E" w:rsidR="00BF2EEB" w:rsidRPr="00BF2EEB" w:rsidRDefault="00BF2EEB" w:rsidP="00BF2EEB">
      <w:pPr>
        <w:pStyle w:val="SingleTxt"/>
        <w:numPr>
          <w:ilvl w:val="0"/>
          <w:numId w:val="30"/>
        </w:numPr>
        <w:spacing w:before="120" w:after="0"/>
        <w:ind w:left="1264" w:firstLine="0"/>
        <w:rPr>
          <w:iCs/>
          <w:lang w:val="en-US"/>
        </w:rPr>
      </w:pPr>
      <w:r>
        <w:t>At the request of the State party under review and as required, governmental experts of the reviewing States parties may be asked to provide the State party under review with explanations of how to address the challenges identified so as to allow the State to fully and effectively implement the relevant articles of the Convention.</w:t>
      </w:r>
    </w:p>
    <w:p w14:paraId="3026CC66" w14:textId="77777777" w:rsidR="00481C53" w:rsidRPr="00BF2EEB" w:rsidRDefault="00481C53" w:rsidP="00481C53">
      <w:pPr>
        <w:pStyle w:val="SingleTxt"/>
        <w:numPr>
          <w:ilvl w:val="0"/>
          <w:numId w:val="30"/>
        </w:numPr>
        <w:spacing w:before="120" w:after="0"/>
        <w:ind w:left="1264" w:firstLine="0"/>
        <w:rPr>
          <w:iCs/>
          <w:lang w:val="en-US"/>
        </w:rPr>
      </w:pPr>
      <w:r w:rsidRPr="00781144">
        <w:t>A State party may decide to make public the responses to its self-assessment questionnaire</w:t>
      </w:r>
      <w:r>
        <w:t>s</w:t>
      </w:r>
      <w:r w:rsidRPr="00781144">
        <w:t>, ensuing dialogue and additional documentation, or part thereof, including through SHERLOC.</w:t>
      </w:r>
    </w:p>
    <w:p w14:paraId="5B7C3A52" w14:textId="77777777" w:rsidR="00481C53" w:rsidRPr="00BF2EEB" w:rsidRDefault="00481C53" w:rsidP="00481C53">
      <w:pPr>
        <w:pStyle w:val="SingleTxt"/>
        <w:numPr>
          <w:ilvl w:val="0"/>
          <w:numId w:val="30"/>
        </w:numPr>
        <w:spacing w:before="120" w:after="0"/>
        <w:ind w:left="1264" w:firstLine="0"/>
        <w:rPr>
          <w:iCs/>
          <w:lang w:val="en-US"/>
        </w:rPr>
      </w:pPr>
      <w:r w:rsidRPr="00AF25C0">
        <w:t>While SHERLOC represents the primary platform of communication, as described in secti</w:t>
      </w:r>
      <w:r>
        <w:t>ons V.C and V.D of the Procedures and R</w:t>
      </w:r>
      <w:r w:rsidRPr="00AF25C0">
        <w:t>ules</w:t>
      </w:r>
      <w:r>
        <w:t xml:space="preserve"> of the review mechanism</w:t>
      </w:r>
      <w:r w:rsidRPr="00AF25C0">
        <w:t>, States parties participating in a review may use other available technological tools, such as virtual networks, conference calls and videoconferences as part of their constructive dialogue. State</w:t>
      </w:r>
      <w:r>
        <w:t>s</w:t>
      </w:r>
      <w:r w:rsidRPr="00AF25C0">
        <w:t xml:space="preserve"> parties are encouraged to take advantage of regularly scheduled meetings of the Conference of the Parties and its working groups to further the direct dialogue.</w:t>
      </w:r>
    </w:p>
    <w:p w14:paraId="16A8E664" w14:textId="41A828B7" w:rsidR="00BF2EEB" w:rsidRPr="00BF2EEB" w:rsidRDefault="00BF2EEB" w:rsidP="00BF2EEB">
      <w:pPr>
        <w:pStyle w:val="SingleTxt"/>
        <w:numPr>
          <w:ilvl w:val="0"/>
          <w:numId w:val="30"/>
        </w:numPr>
        <w:spacing w:before="120" w:after="0"/>
        <w:ind w:left="1264" w:firstLine="0"/>
        <w:rPr>
          <w:iCs/>
          <w:lang w:val="en-US"/>
        </w:rPr>
      </w:pPr>
      <w:r w:rsidRPr="005262D0">
        <w:t>After the submission of the responses to the</w:t>
      </w:r>
      <w:r>
        <w:t xml:space="preserve"> self-assessment</w:t>
      </w:r>
      <w:r w:rsidRPr="005262D0">
        <w:t xml:space="preserve"> questionnaires</w:t>
      </w:r>
      <w:r>
        <w:t>,</w:t>
      </w:r>
      <w:r w:rsidRPr="005262D0">
        <w:t xml:space="preserve"> a State party under review may, on a voluntary basis, share its good practices and experiences with regard to the exercise of completing the questionnaires</w:t>
      </w:r>
      <w:r>
        <w:t>.</w:t>
      </w:r>
    </w:p>
    <w:p w14:paraId="19B06FE7" w14:textId="449C36D6" w:rsidR="00CB0600" w:rsidRDefault="00CB0600">
      <w:pPr>
        <w:suppressAutoHyphens w:val="0"/>
        <w:spacing w:after="200" w:line="276" w:lineRule="auto"/>
      </w:pPr>
      <w:r>
        <w:br w:type="page"/>
      </w:r>
    </w:p>
    <w:p w14:paraId="7A54D7E1" w14:textId="107570EC" w:rsidR="00BF2EEB" w:rsidRDefault="00BF2EEB" w:rsidP="00BF2EEB">
      <w:pPr>
        <w:pStyle w:val="HCh"/>
        <w:ind w:left="1267" w:right="1260" w:hanging="1267"/>
        <w:rPr>
          <w:lang w:val="en-GB"/>
        </w:rPr>
      </w:pPr>
      <w:r w:rsidRPr="00A02AE5">
        <w:tab/>
      </w:r>
      <w:r w:rsidRPr="00A02AE5">
        <w:tab/>
      </w:r>
      <w:r w:rsidRPr="00BF2EEB">
        <w:rPr>
          <w:lang w:val="en-GB"/>
        </w:rPr>
        <w:t>Blueprint for the list of observations for country reviews</w:t>
      </w:r>
      <w:r w:rsidR="002A4A1A">
        <w:rPr>
          <w:rStyle w:val="FootnoteReference"/>
          <w:lang w:val="en-GB"/>
        </w:rPr>
        <w:footnoteReference w:id="7"/>
      </w:r>
    </w:p>
    <w:p w14:paraId="06E2FBF2" w14:textId="77777777" w:rsidR="007A23C1" w:rsidRPr="00FA6E02" w:rsidRDefault="007A23C1" w:rsidP="007A23C1">
      <w:pPr>
        <w:pStyle w:val="SingleTxt"/>
        <w:spacing w:after="0" w:line="120" w:lineRule="exact"/>
        <w:rPr>
          <w:sz w:val="10"/>
        </w:rPr>
      </w:pPr>
    </w:p>
    <w:p w14:paraId="4CE826B0" w14:textId="77777777" w:rsidR="007A23C1" w:rsidRPr="00FA6E02" w:rsidRDefault="007A23C1" w:rsidP="007A23C1">
      <w:pPr>
        <w:pStyle w:val="SingleTxt"/>
        <w:spacing w:after="0" w:line="120" w:lineRule="exact"/>
        <w:contextualSpacing/>
        <w:rPr>
          <w:sz w:val="10"/>
        </w:rPr>
      </w:pPr>
    </w:p>
    <w:p w14:paraId="1605A46F" w14:textId="6483E4FF" w:rsidR="00BF2EEB" w:rsidRDefault="00BF2EEB" w:rsidP="007A23C1">
      <w:pPr>
        <w:pStyle w:val="SingleTxt"/>
        <w:spacing w:before="120" w:after="0"/>
        <w:contextualSpacing/>
      </w:pPr>
      <w:r w:rsidRPr="00BF2EEB">
        <w:t>Review by [names of reviewing States parties] of the implementation by [name of State party under review] of article[s] [number(s) of articles-cluster one/two/three/four] of the [United Nations Convention against Transnational Organized Crime] [respective Protocol thereto] in years […] in the review phase [one /two/three/four] of the Mechanism for the Review of the Implementation of the United Nations Convention against Transnational Organized Crime and the Protocols thereto.</w:t>
      </w:r>
    </w:p>
    <w:p w14:paraId="79E7D73A" w14:textId="77777777" w:rsidR="007A23C1" w:rsidRPr="00FA6E02" w:rsidRDefault="007A23C1" w:rsidP="007A23C1">
      <w:pPr>
        <w:pStyle w:val="SingleTxt"/>
        <w:spacing w:after="0" w:line="120" w:lineRule="exact"/>
        <w:rPr>
          <w:sz w:val="10"/>
        </w:rPr>
      </w:pPr>
    </w:p>
    <w:p w14:paraId="4E38CF6B" w14:textId="77777777" w:rsidR="007A23C1" w:rsidRPr="00FA6E02" w:rsidRDefault="007A23C1" w:rsidP="007A23C1">
      <w:pPr>
        <w:pStyle w:val="SingleTxt"/>
        <w:spacing w:after="0" w:line="120" w:lineRule="exact"/>
        <w:contextualSpacing/>
        <w:rPr>
          <w:sz w:val="10"/>
        </w:rPr>
      </w:pPr>
    </w:p>
    <w:p w14:paraId="044B839D" w14:textId="7D1FA684" w:rsidR="00BF2EEB" w:rsidRPr="00CB0600" w:rsidRDefault="00CB0600" w:rsidP="00CB0600">
      <w:pPr>
        <w:pStyle w:val="H1"/>
        <w:ind w:left="840" w:right="1260" w:firstLine="0"/>
        <w:rPr>
          <w:sz w:val="28"/>
          <w:szCs w:val="28"/>
        </w:rPr>
      </w:pPr>
      <w:r w:rsidRPr="00CB0600">
        <w:rPr>
          <w:sz w:val="28"/>
          <w:szCs w:val="28"/>
        </w:rPr>
        <w:t>I.</w:t>
      </w:r>
      <w:r w:rsidRPr="00CB0600">
        <w:rPr>
          <w:sz w:val="28"/>
          <w:szCs w:val="28"/>
        </w:rPr>
        <w:tab/>
      </w:r>
      <w:r w:rsidR="00BF2EEB" w:rsidRPr="00CB0600">
        <w:rPr>
          <w:sz w:val="28"/>
          <w:szCs w:val="28"/>
        </w:rPr>
        <w:t>Introduction</w:t>
      </w:r>
    </w:p>
    <w:p w14:paraId="5B5D7B5F" w14:textId="77777777" w:rsidR="007A23C1" w:rsidRPr="00FA6E02" w:rsidRDefault="007A23C1" w:rsidP="007A23C1">
      <w:pPr>
        <w:pStyle w:val="SingleTxt"/>
        <w:spacing w:after="0" w:line="120" w:lineRule="exact"/>
        <w:rPr>
          <w:sz w:val="10"/>
        </w:rPr>
      </w:pPr>
    </w:p>
    <w:p w14:paraId="2C52E38C" w14:textId="77777777" w:rsidR="007A23C1" w:rsidRPr="00FA6E02" w:rsidRDefault="007A23C1" w:rsidP="007A23C1">
      <w:pPr>
        <w:pStyle w:val="SingleTxt"/>
        <w:spacing w:after="0" w:line="120" w:lineRule="exact"/>
        <w:contextualSpacing/>
        <w:rPr>
          <w:sz w:val="10"/>
        </w:rPr>
      </w:pPr>
    </w:p>
    <w:p w14:paraId="04F72FCC" w14:textId="5B3E2475" w:rsidR="00BF2EEB" w:rsidRPr="00CB0600" w:rsidRDefault="00BF2EEB" w:rsidP="007A23C1">
      <w:pPr>
        <w:pStyle w:val="SingleTxt"/>
        <w:numPr>
          <w:ilvl w:val="0"/>
          <w:numId w:val="35"/>
        </w:numPr>
        <w:spacing w:before="120" w:after="0"/>
        <w:ind w:left="1264" w:firstLine="0"/>
        <w:contextualSpacing/>
      </w:pPr>
      <w:r w:rsidRPr="00BF2EEB">
        <w:t xml:space="preserve">The Conference of the Parties to the United Nations Convention against Transnational Organized Crime was established pursuant to article 32 of the Convention to, inter alia, promote and review the implementation of the Convention </w:t>
      </w:r>
      <w:r w:rsidRPr="00CB0600">
        <w:t>and the Protocols thereto.</w:t>
      </w:r>
    </w:p>
    <w:p w14:paraId="7A0975AA" w14:textId="7D9A1AF7" w:rsidR="00BF2EEB" w:rsidRPr="00BF2EEB" w:rsidRDefault="00BF2EEB" w:rsidP="00BF2EEB">
      <w:pPr>
        <w:pStyle w:val="SingleTxt"/>
        <w:numPr>
          <w:ilvl w:val="0"/>
          <w:numId w:val="35"/>
        </w:numPr>
        <w:spacing w:before="120" w:after="0"/>
        <w:ind w:left="1264" w:firstLine="0"/>
      </w:pPr>
      <w:r w:rsidRPr="00BF2EEB">
        <w:t>In accordance with article 32, paragraph 4, of the Convention, the Conference established at its ninth session, held in Vienna from 15 to 19 October 2018, the Mechanism for the Review of the Implementation of the United Nations Convention against Transnational Organized Crime and the Protocols thereto.</w:t>
      </w:r>
    </w:p>
    <w:p w14:paraId="1C096839" w14:textId="0105CAD6" w:rsidR="00BF2EEB" w:rsidRPr="00BF2EEB" w:rsidRDefault="00BF2EEB" w:rsidP="00BF2EEB">
      <w:pPr>
        <w:pStyle w:val="SingleTxt"/>
        <w:numPr>
          <w:ilvl w:val="0"/>
          <w:numId w:val="35"/>
        </w:numPr>
        <w:spacing w:before="120" w:after="0"/>
        <w:ind w:left="1264" w:firstLine="0"/>
      </w:pPr>
      <w:r w:rsidRPr="00BF2EEB">
        <w:t>The Review Mechanism is an intergovernmental process whose overall goal is to assist States parties in implementing the Convention and the Protocols thereto.</w:t>
      </w:r>
    </w:p>
    <w:p w14:paraId="564335FA" w14:textId="2C84FFAE" w:rsidR="00BF2EEB" w:rsidRDefault="00BF2EEB" w:rsidP="00BF2EEB">
      <w:pPr>
        <w:pStyle w:val="SingleTxt"/>
        <w:numPr>
          <w:ilvl w:val="0"/>
          <w:numId w:val="35"/>
        </w:numPr>
        <w:spacing w:before="120" w:after="0"/>
        <w:ind w:left="1264" w:firstLine="0"/>
      </w:pPr>
      <w:r w:rsidRPr="00BF2EEB">
        <w:t>The review process is based on the Procedures and Rules for the Functioning of the Mechanism for the Review of the Implementation of the United Nations Convention against Transnational Organized Cr</w:t>
      </w:r>
      <w:r>
        <w:t>ime and the Protocols thereto</w:t>
      </w:r>
      <w:r w:rsidR="00CF538C">
        <w:rPr>
          <w:rStyle w:val="FootnoteReference"/>
        </w:rPr>
        <w:footnoteReference w:id="8"/>
      </w:r>
      <w:r>
        <w:t xml:space="preserve">. </w:t>
      </w:r>
    </w:p>
    <w:p w14:paraId="2A464FDA" w14:textId="77777777" w:rsidR="007A23C1" w:rsidRPr="00FA6E02" w:rsidRDefault="007A23C1" w:rsidP="007A23C1">
      <w:pPr>
        <w:pStyle w:val="SingleTxt"/>
        <w:spacing w:after="0" w:line="120" w:lineRule="exact"/>
        <w:rPr>
          <w:sz w:val="10"/>
        </w:rPr>
      </w:pPr>
    </w:p>
    <w:p w14:paraId="667226CC" w14:textId="77777777" w:rsidR="007A23C1" w:rsidRPr="00FA6E02" w:rsidRDefault="007A23C1" w:rsidP="007A23C1">
      <w:pPr>
        <w:pStyle w:val="SingleTxt"/>
        <w:spacing w:after="0" w:line="120" w:lineRule="exact"/>
        <w:rPr>
          <w:sz w:val="10"/>
        </w:rPr>
      </w:pPr>
    </w:p>
    <w:p w14:paraId="0DADEE06" w14:textId="047E9F8D" w:rsidR="00BF2EEB" w:rsidRDefault="00CB0600" w:rsidP="009B00F0">
      <w:pPr>
        <w:pStyle w:val="H1"/>
        <w:ind w:left="851" w:right="1260" w:hanging="131"/>
        <w:rPr>
          <w:sz w:val="28"/>
          <w:szCs w:val="28"/>
        </w:rPr>
      </w:pPr>
      <w:r>
        <w:rPr>
          <w:sz w:val="28"/>
          <w:szCs w:val="28"/>
        </w:rPr>
        <w:t>II.</w:t>
      </w:r>
      <w:r>
        <w:rPr>
          <w:sz w:val="28"/>
          <w:szCs w:val="28"/>
        </w:rPr>
        <w:tab/>
      </w:r>
      <w:r w:rsidR="002A4A1A">
        <w:rPr>
          <w:sz w:val="28"/>
          <w:szCs w:val="28"/>
        </w:rPr>
        <w:t>Process</w:t>
      </w:r>
    </w:p>
    <w:p w14:paraId="370A4D24" w14:textId="77777777" w:rsidR="007A23C1" w:rsidRPr="00FA6E02" w:rsidRDefault="007A23C1" w:rsidP="007A23C1">
      <w:pPr>
        <w:pStyle w:val="SingleTxt"/>
        <w:spacing w:after="0" w:line="120" w:lineRule="exact"/>
        <w:rPr>
          <w:sz w:val="10"/>
        </w:rPr>
      </w:pPr>
    </w:p>
    <w:p w14:paraId="213E2E2E" w14:textId="77777777" w:rsidR="007A23C1" w:rsidRPr="00FA6E02" w:rsidRDefault="007A23C1" w:rsidP="007A23C1">
      <w:pPr>
        <w:pStyle w:val="SingleTxt"/>
        <w:spacing w:after="0" w:line="120" w:lineRule="exact"/>
        <w:contextualSpacing/>
        <w:rPr>
          <w:sz w:val="10"/>
        </w:rPr>
      </w:pPr>
    </w:p>
    <w:p w14:paraId="6C849AF3" w14:textId="58E0A5B0" w:rsidR="00BF2EEB" w:rsidRDefault="00BF2EEB" w:rsidP="007A23C1">
      <w:pPr>
        <w:pStyle w:val="SingleTxt"/>
        <w:numPr>
          <w:ilvl w:val="0"/>
          <w:numId w:val="35"/>
        </w:numPr>
        <w:spacing w:before="120" w:after="0"/>
        <w:ind w:left="1264" w:firstLine="0"/>
        <w:contextualSpacing/>
      </w:pPr>
      <w:r w:rsidRPr="00BF2EEB">
        <w:t>The following review of the implementation by [name of State party under review] of the Convention [respective Protocol thereto] is based on the completed responses to the self-assessment questionnaire received from [name of State party under review], and any supplementary  information provided in accordance with paragraph 19 of the Procedures and Rules for the Functioning of the Mechanism for the Review of the Implementation of the United Nations Convention against Transnational Organized Crime and the Protocols thereto, as well as the outcome of the constructive  dialogue between the governmental experts from [names of the two reviewing States parties and the State party under review], as foreseen in paragraph 35 of those Procedures and Rules, by means of [communications archived in the designated confidential module in the knowledge management portal known as Sharing Electronic Resources and Laws on Crime (SHERLOC); other available technological tools, such as virtual networks, conference calls and videoconferences] and  involving [names of experts involved].</w:t>
      </w:r>
    </w:p>
    <w:p w14:paraId="09159A54" w14:textId="77777777" w:rsidR="007A23C1" w:rsidRPr="00FA6E02" w:rsidRDefault="007A23C1" w:rsidP="007A23C1">
      <w:pPr>
        <w:pStyle w:val="SingleTxt"/>
        <w:spacing w:after="0" w:line="120" w:lineRule="exact"/>
        <w:rPr>
          <w:sz w:val="10"/>
        </w:rPr>
      </w:pPr>
    </w:p>
    <w:p w14:paraId="1CCE4848" w14:textId="77777777" w:rsidR="007A23C1" w:rsidRPr="00FA6E02" w:rsidRDefault="007A23C1" w:rsidP="007A23C1">
      <w:pPr>
        <w:pStyle w:val="SingleTxt"/>
        <w:spacing w:after="0" w:line="120" w:lineRule="exact"/>
        <w:rPr>
          <w:sz w:val="10"/>
        </w:rPr>
      </w:pPr>
    </w:p>
    <w:p w14:paraId="66C0219F" w14:textId="16FEF8BC" w:rsidR="00BF2EEB" w:rsidRPr="00CB0600" w:rsidRDefault="00CB0600" w:rsidP="009B00F0">
      <w:pPr>
        <w:pStyle w:val="H1"/>
        <w:ind w:left="1276" w:right="1260" w:hanging="567"/>
        <w:rPr>
          <w:sz w:val="28"/>
          <w:szCs w:val="28"/>
        </w:rPr>
      </w:pPr>
      <w:r w:rsidRPr="00CB0600">
        <w:rPr>
          <w:sz w:val="28"/>
          <w:szCs w:val="28"/>
        </w:rPr>
        <w:t>III.</w:t>
      </w:r>
      <w:r w:rsidRPr="00CB0600">
        <w:rPr>
          <w:sz w:val="28"/>
          <w:szCs w:val="28"/>
        </w:rPr>
        <w:tab/>
      </w:r>
      <w:r w:rsidRPr="00CB0600">
        <w:rPr>
          <w:sz w:val="28"/>
          <w:szCs w:val="28"/>
        </w:rPr>
        <w:tab/>
      </w:r>
      <w:r w:rsidR="00CF538C" w:rsidRPr="00CB0600">
        <w:rPr>
          <w:sz w:val="28"/>
          <w:szCs w:val="28"/>
        </w:rPr>
        <w:t>List of observations for the review of [name of the State party under review]</w:t>
      </w:r>
    </w:p>
    <w:p w14:paraId="7C5038D0" w14:textId="77777777" w:rsidR="007A23C1" w:rsidRPr="00FA6E02" w:rsidRDefault="007A23C1" w:rsidP="007A23C1">
      <w:pPr>
        <w:pStyle w:val="SingleTxt"/>
        <w:spacing w:after="0" w:line="120" w:lineRule="exact"/>
        <w:rPr>
          <w:sz w:val="10"/>
        </w:rPr>
      </w:pPr>
    </w:p>
    <w:p w14:paraId="2CA07395" w14:textId="77777777" w:rsidR="007A23C1" w:rsidRPr="00FA6E02" w:rsidRDefault="007A23C1" w:rsidP="007A23C1">
      <w:pPr>
        <w:pStyle w:val="SingleTxt"/>
        <w:spacing w:after="0" w:line="120" w:lineRule="exact"/>
        <w:contextualSpacing/>
        <w:rPr>
          <w:sz w:val="10"/>
        </w:rPr>
      </w:pPr>
    </w:p>
    <w:p w14:paraId="14D7ABF2" w14:textId="3B77F8C6" w:rsidR="00BF2EEB" w:rsidRDefault="00BF2EEB" w:rsidP="007A23C1">
      <w:pPr>
        <w:pStyle w:val="SingleTxt"/>
        <w:numPr>
          <w:ilvl w:val="0"/>
          <w:numId w:val="35"/>
        </w:numPr>
        <w:spacing w:before="120" w:after="0"/>
        <w:ind w:left="1264" w:firstLine="0"/>
        <w:contextualSpacing/>
      </w:pPr>
      <w:r w:rsidRPr="00644CC8">
        <w:t>In accordance with paragraph 39 of the Procedures and Rules for the Functioning of the Mechanism for the Review of the Implementation of the United Nations Convention against Transnational Organized Crime and the Protocols thereto, the State party under review and the reviewing States parties have agreed on the following list of observations regarding the review of [name of State party under review]:</w:t>
      </w:r>
    </w:p>
    <w:p w14:paraId="14D25E2C" w14:textId="77777777" w:rsidR="009D3B91" w:rsidRPr="00FA6E02" w:rsidRDefault="009D3B91" w:rsidP="009D3B91">
      <w:pPr>
        <w:pStyle w:val="SingleTxt"/>
        <w:spacing w:after="0" w:line="120" w:lineRule="exact"/>
        <w:ind w:left="1637"/>
        <w:contextualSpacing/>
        <w:rPr>
          <w:sz w:val="10"/>
        </w:rPr>
      </w:pPr>
    </w:p>
    <w:p w14:paraId="2B26A4CF" w14:textId="0032957B" w:rsidR="00644CC8" w:rsidRDefault="002B3F02" w:rsidP="002B3F02">
      <w:pPr>
        <w:pStyle w:val="SingleTxt"/>
        <w:rPr>
          <w:lang w:val="en-US"/>
        </w:rPr>
      </w:pPr>
      <w:r>
        <w:rPr>
          <w:lang w:val="en-US"/>
        </w:rPr>
        <w:tab/>
      </w:r>
      <w:r>
        <w:rPr>
          <w:lang w:val="en-US"/>
        </w:rPr>
        <w:tab/>
      </w:r>
      <w:r w:rsidR="00BF7F9C" w:rsidRPr="00BA78E3">
        <w:rPr>
          <w:lang w:val="en-US"/>
        </w:rPr>
        <w:t xml:space="preserve">(a) </w:t>
      </w:r>
      <w:r>
        <w:rPr>
          <w:lang w:val="en-US"/>
        </w:rPr>
        <w:tab/>
      </w:r>
      <w:r w:rsidR="00644CC8" w:rsidRPr="00644CC8">
        <w:rPr>
          <w:lang w:val="en-US"/>
        </w:rPr>
        <w:t>Gaps and challenges in the implementation of the provisions under review.</w:t>
      </w:r>
    </w:p>
    <w:p w14:paraId="17D6DD69" w14:textId="28F8D458" w:rsidR="00644CC8" w:rsidRDefault="002B3F02" w:rsidP="002B3F02">
      <w:pPr>
        <w:pStyle w:val="SingleTxt"/>
        <w:rPr>
          <w:lang w:val="en-US"/>
        </w:rPr>
      </w:pPr>
      <w:r>
        <w:rPr>
          <w:lang w:val="en-US"/>
        </w:rPr>
        <w:tab/>
      </w:r>
      <w:r>
        <w:rPr>
          <w:lang w:val="en-US"/>
        </w:rPr>
        <w:tab/>
      </w:r>
      <w:r w:rsidR="00BF7F9C" w:rsidRPr="00BA78E3">
        <w:rPr>
          <w:lang w:val="en-US"/>
        </w:rPr>
        <w:t xml:space="preserve">(b) </w:t>
      </w:r>
      <w:r>
        <w:rPr>
          <w:lang w:val="en-US"/>
        </w:rPr>
        <w:tab/>
      </w:r>
      <w:r w:rsidR="00644CC8">
        <w:t>Best practices</w:t>
      </w:r>
    </w:p>
    <w:p w14:paraId="05EB5116" w14:textId="23344DC3" w:rsidR="00BF7F9C" w:rsidRDefault="002B3F02" w:rsidP="002B3F02">
      <w:pPr>
        <w:pStyle w:val="SingleTxt"/>
      </w:pPr>
      <w:r>
        <w:rPr>
          <w:lang w:val="en-US"/>
        </w:rPr>
        <w:tab/>
      </w:r>
      <w:r>
        <w:rPr>
          <w:lang w:val="en-US"/>
        </w:rPr>
        <w:tab/>
      </w:r>
      <w:r w:rsidR="00BF7F9C" w:rsidRPr="00BA78E3">
        <w:rPr>
          <w:lang w:val="en-US"/>
        </w:rPr>
        <w:t xml:space="preserve">(c) </w:t>
      </w:r>
      <w:r>
        <w:rPr>
          <w:lang w:val="en-US"/>
        </w:rPr>
        <w:tab/>
      </w:r>
      <w:r w:rsidR="00644CC8">
        <w:t>S</w:t>
      </w:r>
      <w:r w:rsidR="00644CC8" w:rsidRPr="00084393">
        <w:t xml:space="preserve">uggestions and any technical assistance needs identified to improve </w:t>
      </w:r>
      <w:r w:rsidR="00644CC8">
        <w:t xml:space="preserve">the </w:t>
      </w:r>
      <w:r w:rsidR="00644CC8" w:rsidRPr="00084393">
        <w:t>implement</w:t>
      </w:r>
      <w:r w:rsidR="00644CC8">
        <w:t>ation of the [Convention] [respective Protocol thereto].</w:t>
      </w:r>
    </w:p>
    <w:p w14:paraId="28980490" w14:textId="6AF3D02B" w:rsidR="00CB0600" w:rsidRDefault="00CB0600">
      <w:pPr>
        <w:suppressAutoHyphens w:val="0"/>
        <w:spacing w:after="200" w:line="276" w:lineRule="auto"/>
      </w:pPr>
      <w:r>
        <w:br w:type="page"/>
      </w:r>
    </w:p>
    <w:p w14:paraId="1D2BE986" w14:textId="62523ECD" w:rsidR="00644CC8" w:rsidRDefault="00644CC8" w:rsidP="00644CC8">
      <w:pPr>
        <w:pStyle w:val="HCh"/>
        <w:ind w:left="1267" w:right="1260" w:hanging="1267"/>
        <w:rPr>
          <w:lang w:val="en-GB"/>
        </w:rPr>
      </w:pPr>
      <w:r w:rsidRPr="00A02AE5">
        <w:tab/>
      </w:r>
      <w:r w:rsidRPr="00A02AE5">
        <w:tab/>
      </w:r>
      <w:r w:rsidRPr="00644CC8">
        <w:rPr>
          <w:lang w:val="en-GB"/>
        </w:rPr>
        <w:t>Blueprint for the summary of the list of observations for the review of [State party under review]</w:t>
      </w:r>
      <w:r w:rsidR="00CF538C">
        <w:rPr>
          <w:rStyle w:val="FootnoteReference"/>
          <w:lang w:val="en-GB"/>
        </w:rPr>
        <w:footnoteReference w:id="9"/>
      </w:r>
    </w:p>
    <w:p w14:paraId="72AE82F4" w14:textId="77777777" w:rsidR="009D3B91" w:rsidRPr="00FA6E02" w:rsidRDefault="009D3B91" w:rsidP="009D3B91">
      <w:pPr>
        <w:pStyle w:val="SingleTxt"/>
        <w:spacing w:after="0" w:line="120" w:lineRule="exact"/>
        <w:contextualSpacing/>
        <w:rPr>
          <w:sz w:val="10"/>
        </w:rPr>
      </w:pPr>
    </w:p>
    <w:p w14:paraId="2BE2B856" w14:textId="77777777" w:rsidR="009D3B91" w:rsidRPr="00FA6E02" w:rsidRDefault="009D3B91" w:rsidP="009D3B91">
      <w:pPr>
        <w:pStyle w:val="SingleTxt"/>
        <w:spacing w:after="0" w:line="120" w:lineRule="exact"/>
        <w:contextualSpacing/>
        <w:rPr>
          <w:sz w:val="10"/>
        </w:rPr>
      </w:pPr>
    </w:p>
    <w:p w14:paraId="4843BC71" w14:textId="2FD04DA5" w:rsidR="00BF7F9C" w:rsidRPr="007F330C" w:rsidRDefault="00644CC8" w:rsidP="007F330C">
      <w:pPr>
        <w:pStyle w:val="H1"/>
        <w:ind w:left="1276" w:right="1260" w:hanging="567"/>
        <w:rPr>
          <w:sz w:val="28"/>
          <w:szCs w:val="28"/>
        </w:rPr>
      </w:pPr>
      <w:r w:rsidRPr="007F330C">
        <w:rPr>
          <w:sz w:val="28"/>
          <w:szCs w:val="28"/>
        </w:rPr>
        <w:tab/>
      </w:r>
      <w:r w:rsidR="007F330C">
        <w:rPr>
          <w:sz w:val="28"/>
          <w:szCs w:val="28"/>
        </w:rPr>
        <w:t>I</w:t>
      </w:r>
      <w:r w:rsidR="00BF7F9C" w:rsidRPr="007F330C">
        <w:rPr>
          <w:sz w:val="28"/>
          <w:szCs w:val="28"/>
        </w:rPr>
        <w:t xml:space="preserve">. </w:t>
      </w:r>
      <w:r w:rsidR="00192891" w:rsidRPr="007F330C">
        <w:rPr>
          <w:sz w:val="28"/>
          <w:szCs w:val="28"/>
        </w:rPr>
        <w:tab/>
      </w:r>
      <w:r w:rsidRPr="007F330C">
        <w:rPr>
          <w:sz w:val="28"/>
          <w:szCs w:val="28"/>
        </w:rPr>
        <w:t>Ratification of the [Convention] [respective Protocol thereto]</w:t>
      </w:r>
    </w:p>
    <w:p w14:paraId="111678C2" w14:textId="77777777" w:rsidR="00BF7F9C" w:rsidRPr="00FA6E02" w:rsidRDefault="00BF7F9C" w:rsidP="00BF7F9C">
      <w:pPr>
        <w:pStyle w:val="SingleTxt"/>
        <w:spacing w:after="0" w:line="120" w:lineRule="exact"/>
        <w:rPr>
          <w:sz w:val="10"/>
        </w:rPr>
      </w:pPr>
    </w:p>
    <w:p w14:paraId="26235A22" w14:textId="77777777" w:rsidR="00BF7F9C" w:rsidRPr="00FA6E02" w:rsidRDefault="00BF7F9C" w:rsidP="009D3B91">
      <w:pPr>
        <w:pStyle w:val="SingleTxt"/>
        <w:spacing w:after="0" w:line="120" w:lineRule="exact"/>
        <w:contextualSpacing/>
        <w:rPr>
          <w:sz w:val="10"/>
        </w:rPr>
      </w:pPr>
    </w:p>
    <w:p w14:paraId="69A1151D" w14:textId="4353FA8A" w:rsidR="00BF7F9C" w:rsidRPr="00644CC8" w:rsidRDefault="00BF7F9C" w:rsidP="009D3B91">
      <w:pPr>
        <w:pStyle w:val="SingleTxt"/>
        <w:numPr>
          <w:ilvl w:val="0"/>
          <w:numId w:val="35"/>
        </w:numPr>
        <w:spacing w:before="120" w:after="0"/>
        <w:ind w:left="1264" w:firstLine="0"/>
        <w:contextualSpacing/>
      </w:pPr>
      <w:r w:rsidRPr="00261201">
        <w:t xml:space="preserve"> </w:t>
      </w:r>
      <w:r w:rsidR="00644CC8" w:rsidRPr="00644CC8">
        <w:t>[Name of State party under review] signed the Convention [respective Protocol thereto] on [date] and ratified it on [date]. [Name of State party under review] deposited its instrument of ratification with the Secretary-General on [date].</w:t>
      </w:r>
    </w:p>
    <w:p w14:paraId="07BF6092" w14:textId="09BB6D56" w:rsidR="00644CC8" w:rsidRDefault="00644CC8" w:rsidP="00644CC8">
      <w:pPr>
        <w:pStyle w:val="SingleTxt"/>
        <w:numPr>
          <w:ilvl w:val="0"/>
          <w:numId w:val="35"/>
        </w:numPr>
        <w:spacing w:before="120" w:after="0"/>
        <w:ind w:left="1264" w:firstLine="0"/>
      </w:pPr>
      <w:r>
        <w:t>The implementing legislation—in other words, the [title of act ratifying the Convention/respective Protocol thereto]—was adopted by [name of national legislative body] on [date], entered into force on [date] and was published in [name, number and date of official publication communicating adoption of the act]. The implementing legislation includes [summary of ratification legislation].</w:t>
      </w:r>
    </w:p>
    <w:p w14:paraId="1523057C" w14:textId="77777777" w:rsidR="009D3B91" w:rsidRPr="00FA6E02" w:rsidRDefault="009D3B91" w:rsidP="009D3B91">
      <w:pPr>
        <w:pStyle w:val="SingleTxt"/>
        <w:spacing w:after="0" w:line="120" w:lineRule="exact"/>
        <w:rPr>
          <w:sz w:val="10"/>
        </w:rPr>
      </w:pPr>
    </w:p>
    <w:p w14:paraId="7B96304C" w14:textId="77777777" w:rsidR="009D3B91" w:rsidRPr="00FA6E02" w:rsidRDefault="009D3B91" w:rsidP="009D3B91">
      <w:pPr>
        <w:pStyle w:val="SingleTxt"/>
        <w:spacing w:after="0" w:line="120" w:lineRule="exact"/>
        <w:rPr>
          <w:sz w:val="10"/>
        </w:rPr>
      </w:pPr>
    </w:p>
    <w:p w14:paraId="596B6869" w14:textId="70D5B3FC" w:rsidR="00644CC8" w:rsidRDefault="00644CC8" w:rsidP="007F330C">
      <w:pPr>
        <w:pStyle w:val="H1"/>
        <w:ind w:left="1276" w:right="1260" w:hanging="567"/>
      </w:pPr>
      <w:r>
        <w:tab/>
      </w:r>
      <w:r w:rsidR="007F330C">
        <w:rPr>
          <w:sz w:val="28"/>
          <w:szCs w:val="28"/>
        </w:rPr>
        <w:t>II.</w:t>
      </w:r>
      <w:r w:rsidRPr="007F330C">
        <w:rPr>
          <w:sz w:val="28"/>
          <w:szCs w:val="28"/>
        </w:rPr>
        <w:t xml:space="preserve"> </w:t>
      </w:r>
      <w:r w:rsidRPr="007F330C">
        <w:rPr>
          <w:sz w:val="28"/>
          <w:szCs w:val="28"/>
        </w:rPr>
        <w:tab/>
        <w:t>Legal system of [name of State party under review]</w:t>
      </w:r>
    </w:p>
    <w:p w14:paraId="63FA4537" w14:textId="77777777" w:rsidR="009D3B91" w:rsidRPr="00FA6E02" w:rsidRDefault="009D3B91" w:rsidP="009D3B91">
      <w:pPr>
        <w:pStyle w:val="SingleTxt"/>
        <w:spacing w:after="0" w:line="120" w:lineRule="exact"/>
        <w:rPr>
          <w:sz w:val="10"/>
        </w:rPr>
      </w:pPr>
    </w:p>
    <w:p w14:paraId="133E460B" w14:textId="77777777" w:rsidR="009D3B91" w:rsidRPr="00FA6E02" w:rsidRDefault="009D3B91" w:rsidP="009D3B91">
      <w:pPr>
        <w:pStyle w:val="SingleTxt"/>
        <w:spacing w:after="0" w:line="120" w:lineRule="exact"/>
        <w:rPr>
          <w:sz w:val="10"/>
        </w:rPr>
      </w:pPr>
    </w:p>
    <w:p w14:paraId="63B3E01C" w14:textId="03C13840" w:rsidR="00BF7F9C" w:rsidRPr="00644CC8" w:rsidRDefault="00644CC8" w:rsidP="009B00F0">
      <w:pPr>
        <w:pStyle w:val="SingleTxt"/>
        <w:numPr>
          <w:ilvl w:val="0"/>
          <w:numId w:val="35"/>
        </w:numPr>
        <w:spacing w:after="0"/>
        <w:ind w:left="1264" w:firstLine="0"/>
        <w:rPr>
          <w:lang w:val="en-US"/>
        </w:rPr>
      </w:pPr>
      <w:r>
        <w:t>Article [number of article] of the Constitution states that [discuss whether treaties are self-executing or require implementing legislation, where the [Convention] [respective Protocol thereto] fits into the hierarchy of law etc.].</w:t>
      </w:r>
    </w:p>
    <w:p w14:paraId="1C62D385" w14:textId="77777777" w:rsidR="00BF7F9C" w:rsidRPr="00FA6E02" w:rsidRDefault="00BF7F9C" w:rsidP="00BF7F9C">
      <w:pPr>
        <w:pStyle w:val="SingleTxt"/>
        <w:spacing w:after="0" w:line="120" w:lineRule="exact"/>
        <w:rPr>
          <w:sz w:val="10"/>
        </w:rPr>
      </w:pPr>
    </w:p>
    <w:p w14:paraId="16595981" w14:textId="77777777" w:rsidR="00BF7F9C" w:rsidRPr="00FA6E02" w:rsidRDefault="00BF7F9C" w:rsidP="00BF7F9C">
      <w:pPr>
        <w:pStyle w:val="SingleTxt"/>
        <w:spacing w:after="0" w:line="120" w:lineRule="exact"/>
        <w:rPr>
          <w:sz w:val="10"/>
        </w:rPr>
      </w:pPr>
    </w:p>
    <w:p w14:paraId="6E53F935" w14:textId="4F8A55BF" w:rsidR="00BF7F9C" w:rsidRPr="00192891" w:rsidRDefault="00192891" w:rsidP="007F330C">
      <w:pPr>
        <w:pStyle w:val="H1"/>
        <w:ind w:left="1276" w:right="1260" w:hanging="567"/>
      </w:pPr>
      <w:r>
        <w:tab/>
      </w:r>
      <w:r w:rsidR="007F330C" w:rsidRPr="007F330C">
        <w:rPr>
          <w:sz w:val="28"/>
          <w:szCs w:val="28"/>
        </w:rPr>
        <w:t>III.</w:t>
      </w:r>
      <w:r w:rsidR="00BF7F9C" w:rsidRPr="007F330C">
        <w:rPr>
          <w:sz w:val="28"/>
          <w:szCs w:val="28"/>
        </w:rPr>
        <w:t xml:space="preserve"> </w:t>
      </w:r>
      <w:r w:rsidRPr="007F330C">
        <w:rPr>
          <w:sz w:val="28"/>
          <w:szCs w:val="28"/>
        </w:rPr>
        <w:tab/>
      </w:r>
      <w:r w:rsidR="00644CC8" w:rsidRPr="007F330C">
        <w:rPr>
          <w:sz w:val="28"/>
          <w:szCs w:val="28"/>
        </w:rPr>
        <w:t>Implementation of articles of [Convention] [respective Protocol thereto] under review</w:t>
      </w:r>
    </w:p>
    <w:p w14:paraId="4C81ECB3" w14:textId="77777777" w:rsidR="00BF7F9C" w:rsidRPr="00FA6E02" w:rsidRDefault="00BF7F9C" w:rsidP="00BF7F9C">
      <w:pPr>
        <w:pStyle w:val="SingleTxt"/>
        <w:spacing w:after="0" w:line="120" w:lineRule="exact"/>
        <w:rPr>
          <w:sz w:val="10"/>
        </w:rPr>
      </w:pPr>
    </w:p>
    <w:p w14:paraId="2F627F92" w14:textId="77777777" w:rsidR="00BF7F9C" w:rsidRPr="00FA6E02" w:rsidRDefault="00BF7F9C" w:rsidP="00BF7F9C">
      <w:pPr>
        <w:pStyle w:val="SingleTxt"/>
        <w:spacing w:after="0" w:line="120" w:lineRule="exact"/>
        <w:rPr>
          <w:sz w:val="10"/>
        </w:rPr>
      </w:pPr>
    </w:p>
    <w:p w14:paraId="4414A959" w14:textId="5711DF86" w:rsidR="00644CC8" w:rsidRDefault="00261201" w:rsidP="00261201">
      <w:pPr>
        <w:pStyle w:val="SingleTxt"/>
        <w:contextualSpacing/>
        <w:rPr>
          <w:lang w:val="en-US"/>
        </w:rPr>
      </w:pPr>
      <w:r w:rsidRPr="00261201">
        <w:rPr>
          <w:lang w:val="en-US"/>
        </w:rPr>
        <w:t>Articles [number of articles]</w:t>
      </w:r>
    </w:p>
    <w:p w14:paraId="24C83A0E" w14:textId="15B8070D" w:rsidR="009D3B91" w:rsidRDefault="009D3B91" w:rsidP="000E527D">
      <w:pPr>
        <w:pStyle w:val="SingleTxt"/>
        <w:spacing w:after="0" w:line="120" w:lineRule="exact"/>
        <w:contextualSpacing/>
        <w:rPr>
          <w:sz w:val="10"/>
        </w:rPr>
      </w:pPr>
    </w:p>
    <w:p w14:paraId="4FF33A1D" w14:textId="77777777" w:rsidR="007F330C" w:rsidRPr="00FA6E02" w:rsidRDefault="007F330C" w:rsidP="000E527D">
      <w:pPr>
        <w:pStyle w:val="SingleTxt"/>
        <w:spacing w:after="0" w:line="120" w:lineRule="exact"/>
        <w:contextualSpacing/>
        <w:rPr>
          <w:sz w:val="10"/>
        </w:rPr>
      </w:pPr>
    </w:p>
    <w:p w14:paraId="2FB3D4EA" w14:textId="7BBC8352" w:rsidR="00261201" w:rsidRPr="007F330C" w:rsidRDefault="009B00F0" w:rsidP="007F330C">
      <w:pPr>
        <w:pStyle w:val="H1"/>
        <w:ind w:left="1267" w:right="1260" w:hanging="1267"/>
      </w:pPr>
      <w:r w:rsidRPr="007F330C">
        <w:tab/>
      </w:r>
      <w:r w:rsidR="007F330C">
        <w:t>A.</w:t>
      </w:r>
      <w:r w:rsidR="007F330C">
        <w:tab/>
      </w:r>
      <w:r w:rsidR="00261201" w:rsidRPr="009D3B91">
        <w:t>Summary of information relevant to reviewing the implementation of the articles under review</w:t>
      </w:r>
    </w:p>
    <w:p w14:paraId="57F1BD9A" w14:textId="410953CF" w:rsidR="000E527D" w:rsidRDefault="000E527D" w:rsidP="000E527D">
      <w:pPr>
        <w:pStyle w:val="SingleTxt"/>
        <w:spacing w:after="0" w:line="120" w:lineRule="exact"/>
        <w:contextualSpacing/>
        <w:rPr>
          <w:sz w:val="10"/>
        </w:rPr>
      </w:pPr>
    </w:p>
    <w:p w14:paraId="1DE10DE8" w14:textId="77777777" w:rsidR="007F330C" w:rsidRDefault="007F330C" w:rsidP="000E527D">
      <w:pPr>
        <w:pStyle w:val="SingleTxt"/>
        <w:spacing w:after="0" w:line="120" w:lineRule="exact"/>
        <w:contextualSpacing/>
        <w:rPr>
          <w:sz w:val="10"/>
        </w:rPr>
      </w:pPr>
    </w:p>
    <w:p w14:paraId="0BF8A98E" w14:textId="00E6F4CD" w:rsidR="0083048D" w:rsidRPr="000E527D" w:rsidRDefault="00261201" w:rsidP="009D3B91">
      <w:pPr>
        <w:pStyle w:val="SingleTxt"/>
        <w:numPr>
          <w:ilvl w:val="0"/>
          <w:numId w:val="35"/>
        </w:numPr>
        <w:spacing w:before="120"/>
        <w:ind w:left="1264" w:firstLine="0"/>
        <w:contextualSpacing/>
        <w:rPr>
          <w:lang w:val="en-US"/>
        </w:rPr>
      </w:pPr>
      <w:r>
        <w:t xml:space="preserve">[Information provided by the State party under review through the self-assessment questionnaire and any supplementary information provided in accordance with paragraph 19 of the </w:t>
      </w:r>
      <w:r w:rsidRPr="005131B3">
        <w:t>Procedures and Rules for the Functioning of the Mechanism for the Review of the Implementation of the United Nations Convention against Transnational Organized Crime and the Protocols thereto</w:t>
      </w:r>
      <w:r>
        <w:t xml:space="preserve"> and in the context of the constructive dialogue, as foreseen in paragraph 35 of those Procedures and Rules].</w:t>
      </w:r>
    </w:p>
    <w:p w14:paraId="353D3ABF" w14:textId="02698F85" w:rsidR="00DE390D" w:rsidRDefault="00DE390D" w:rsidP="000E527D">
      <w:pPr>
        <w:pStyle w:val="SingleTxt"/>
        <w:spacing w:after="0" w:line="120" w:lineRule="exact"/>
        <w:contextualSpacing/>
        <w:rPr>
          <w:sz w:val="10"/>
          <w:lang w:val="en-US"/>
        </w:rPr>
      </w:pPr>
    </w:p>
    <w:p w14:paraId="26B38F06" w14:textId="77777777" w:rsidR="007F330C" w:rsidRPr="00DE390D" w:rsidRDefault="007F330C" w:rsidP="000E527D">
      <w:pPr>
        <w:pStyle w:val="SingleTxt"/>
        <w:spacing w:after="0" w:line="120" w:lineRule="exact"/>
        <w:contextualSpacing/>
        <w:rPr>
          <w:sz w:val="10"/>
          <w:lang w:val="en-US"/>
        </w:rPr>
      </w:pPr>
    </w:p>
    <w:p w14:paraId="5D8D76FD" w14:textId="350EAB0B" w:rsidR="0083048D" w:rsidRPr="007F330C" w:rsidRDefault="007F330C" w:rsidP="007F330C">
      <w:pPr>
        <w:pStyle w:val="H1"/>
        <w:ind w:left="1267" w:right="1260" w:hanging="1267"/>
      </w:pPr>
      <w:r>
        <w:tab/>
        <w:t>B.</w:t>
      </w:r>
      <w:r>
        <w:tab/>
      </w:r>
      <w:r w:rsidR="0083048D" w:rsidRPr="00995652">
        <w:t>Observations on th</w:t>
      </w:r>
      <w:r w:rsidR="0083048D">
        <w:t>e implementation of the articles under review</w:t>
      </w:r>
    </w:p>
    <w:p w14:paraId="7B567FB7" w14:textId="5182AB61" w:rsidR="000E527D" w:rsidRDefault="000E527D" w:rsidP="000E527D">
      <w:pPr>
        <w:pStyle w:val="SingleTxt"/>
        <w:spacing w:after="0" w:line="120" w:lineRule="exact"/>
        <w:contextualSpacing/>
        <w:rPr>
          <w:sz w:val="10"/>
        </w:rPr>
      </w:pPr>
    </w:p>
    <w:p w14:paraId="1CF57CAF" w14:textId="77777777" w:rsidR="007F330C" w:rsidRDefault="007F330C" w:rsidP="000E527D">
      <w:pPr>
        <w:pStyle w:val="SingleTxt"/>
        <w:spacing w:after="0" w:line="120" w:lineRule="exact"/>
        <w:contextualSpacing/>
        <w:rPr>
          <w:sz w:val="10"/>
        </w:rPr>
      </w:pPr>
    </w:p>
    <w:p w14:paraId="505BCCB9" w14:textId="22873AEA" w:rsidR="0083048D" w:rsidRPr="0083048D" w:rsidRDefault="0083048D" w:rsidP="0044788E">
      <w:pPr>
        <w:pStyle w:val="SingleTxt"/>
        <w:numPr>
          <w:ilvl w:val="0"/>
          <w:numId w:val="35"/>
        </w:numPr>
        <w:spacing w:after="0"/>
        <w:ind w:left="1264" w:firstLine="0"/>
      </w:pPr>
      <w:r>
        <w:t>[Observations of the governmental experts with regard to the implementation of the articles under review.]</w:t>
      </w:r>
    </w:p>
    <w:p w14:paraId="16052BFF" w14:textId="10BD1441" w:rsidR="000E527D" w:rsidRDefault="000E527D" w:rsidP="00867113">
      <w:pPr>
        <w:pStyle w:val="SingleTxt"/>
        <w:spacing w:after="0" w:line="120" w:lineRule="exact"/>
        <w:contextualSpacing/>
        <w:rPr>
          <w:sz w:val="10"/>
        </w:rPr>
      </w:pPr>
    </w:p>
    <w:p w14:paraId="40BEAA73" w14:textId="77777777" w:rsidR="007F330C" w:rsidRDefault="007F330C" w:rsidP="00867113">
      <w:pPr>
        <w:pStyle w:val="SingleTxt"/>
        <w:spacing w:after="0" w:line="120" w:lineRule="exact"/>
        <w:contextualSpacing/>
        <w:rPr>
          <w:sz w:val="10"/>
        </w:rPr>
      </w:pPr>
    </w:p>
    <w:p w14:paraId="51FCFC99" w14:textId="2B5C6E3E" w:rsidR="007A23C1" w:rsidRPr="007F330C" w:rsidRDefault="007F330C" w:rsidP="007F330C">
      <w:pPr>
        <w:pStyle w:val="H1"/>
        <w:ind w:left="1267" w:right="1260" w:hanging="1267"/>
      </w:pPr>
      <w:r>
        <w:tab/>
        <w:t>C.</w:t>
      </w:r>
      <w:r>
        <w:tab/>
      </w:r>
      <w:r w:rsidR="007A23C1" w:rsidRPr="00995652">
        <w:t>Observations on th</w:t>
      </w:r>
      <w:r w:rsidR="007A23C1">
        <w:t>e implementation of the articles under review</w:t>
      </w:r>
    </w:p>
    <w:p w14:paraId="5D57C022" w14:textId="6D9DD764" w:rsidR="00DE390D" w:rsidRDefault="00DE390D" w:rsidP="00DE390D">
      <w:pPr>
        <w:pStyle w:val="SingleTxt"/>
        <w:spacing w:after="0" w:line="120" w:lineRule="exact"/>
        <w:contextualSpacing/>
        <w:rPr>
          <w:sz w:val="10"/>
        </w:rPr>
      </w:pPr>
    </w:p>
    <w:p w14:paraId="5B5CFA75" w14:textId="77777777" w:rsidR="007F330C" w:rsidRDefault="007F330C" w:rsidP="00DE390D">
      <w:pPr>
        <w:pStyle w:val="SingleTxt"/>
        <w:spacing w:after="0" w:line="120" w:lineRule="exact"/>
        <w:contextualSpacing/>
        <w:rPr>
          <w:sz w:val="10"/>
        </w:rPr>
      </w:pPr>
    </w:p>
    <w:p w14:paraId="1456FD8B" w14:textId="1A06EA78" w:rsidR="0083048D" w:rsidRDefault="007A23C1" w:rsidP="00867113">
      <w:pPr>
        <w:pStyle w:val="SingleTxt"/>
        <w:numPr>
          <w:ilvl w:val="0"/>
          <w:numId w:val="35"/>
        </w:numPr>
        <w:ind w:left="1264" w:firstLine="0"/>
        <w:contextualSpacing/>
      </w:pPr>
      <w:r w:rsidRPr="007A23C1">
        <w:t>[Identification of best practices in implementing the articles under review, where applicable]</w:t>
      </w:r>
    </w:p>
    <w:p w14:paraId="6DE2CB31" w14:textId="77777777" w:rsidR="00DE390D" w:rsidRPr="00FA6E02" w:rsidRDefault="00DE390D" w:rsidP="00867113">
      <w:pPr>
        <w:pStyle w:val="SingleTxt"/>
        <w:spacing w:after="0" w:line="120" w:lineRule="exact"/>
        <w:contextualSpacing/>
        <w:rPr>
          <w:sz w:val="10"/>
        </w:rPr>
      </w:pPr>
    </w:p>
    <w:p w14:paraId="27116307" w14:textId="412486F5" w:rsidR="007A23C1" w:rsidRPr="007F330C" w:rsidRDefault="007F330C" w:rsidP="007F330C">
      <w:pPr>
        <w:pStyle w:val="H1"/>
        <w:ind w:left="1267" w:right="1260" w:hanging="1267"/>
      </w:pPr>
      <w:r>
        <w:tab/>
        <w:t>D.</w:t>
      </w:r>
      <w:r>
        <w:tab/>
      </w:r>
      <w:r w:rsidR="007A23C1" w:rsidRPr="00995652">
        <w:t>Observations on th</w:t>
      </w:r>
      <w:r w:rsidR="007A23C1">
        <w:t>e implementation of the articles under review</w:t>
      </w:r>
    </w:p>
    <w:p w14:paraId="23180B9C" w14:textId="77777777" w:rsidR="00DE390D" w:rsidRPr="00FA6E02" w:rsidRDefault="00DE390D" w:rsidP="00867113">
      <w:pPr>
        <w:pStyle w:val="SingleTxt"/>
        <w:spacing w:after="0" w:line="120" w:lineRule="exact"/>
        <w:contextualSpacing/>
        <w:rPr>
          <w:sz w:val="10"/>
        </w:rPr>
      </w:pPr>
    </w:p>
    <w:p w14:paraId="611518CD" w14:textId="5E092C31" w:rsidR="007A23C1" w:rsidRDefault="007A23C1" w:rsidP="00867113">
      <w:pPr>
        <w:pStyle w:val="SingleTxt"/>
        <w:numPr>
          <w:ilvl w:val="0"/>
          <w:numId w:val="35"/>
        </w:numPr>
        <w:ind w:left="1264" w:firstLine="0"/>
        <w:contextualSpacing/>
      </w:pPr>
      <w:r w:rsidRPr="007A23C1">
        <w:t>[Identification of any gaps and challenges in implementation of the articles under review, where applicable]</w:t>
      </w:r>
    </w:p>
    <w:p w14:paraId="5A8C0C45" w14:textId="19014056" w:rsidR="00DE390D" w:rsidRDefault="00DE390D" w:rsidP="00867113">
      <w:pPr>
        <w:pStyle w:val="SingleTxt"/>
        <w:spacing w:after="0" w:line="120" w:lineRule="exact"/>
        <w:contextualSpacing/>
        <w:rPr>
          <w:sz w:val="10"/>
        </w:rPr>
      </w:pPr>
    </w:p>
    <w:p w14:paraId="600DD0F2" w14:textId="77777777" w:rsidR="007F330C" w:rsidRPr="00FA6E02" w:rsidRDefault="007F330C" w:rsidP="00867113">
      <w:pPr>
        <w:pStyle w:val="SingleTxt"/>
        <w:spacing w:after="0" w:line="120" w:lineRule="exact"/>
        <w:contextualSpacing/>
        <w:rPr>
          <w:sz w:val="10"/>
        </w:rPr>
      </w:pPr>
    </w:p>
    <w:p w14:paraId="38365866" w14:textId="67C89990" w:rsidR="007A23C1" w:rsidRPr="007F330C" w:rsidRDefault="007F330C" w:rsidP="007F330C">
      <w:pPr>
        <w:pStyle w:val="H1"/>
        <w:ind w:left="1267" w:right="1260" w:hanging="1267"/>
      </w:pPr>
      <w:r>
        <w:tab/>
        <w:t>E.</w:t>
      </w:r>
      <w:r>
        <w:tab/>
      </w:r>
      <w:r w:rsidR="007A23C1" w:rsidRPr="00995652">
        <w:t>Observations on th</w:t>
      </w:r>
      <w:r w:rsidR="007A23C1">
        <w:t>e implementation of the articles under review</w:t>
      </w:r>
    </w:p>
    <w:p w14:paraId="5664DCBE" w14:textId="0D15CC7A" w:rsidR="00DE390D" w:rsidRDefault="00DE390D" w:rsidP="00867113">
      <w:pPr>
        <w:pStyle w:val="SingleTxt"/>
        <w:spacing w:after="0" w:line="120" w:lineRule="exact"/>
        <w:contextualSpacing/>
        <w:rPr>
          <w:sz w:val="10"/>
        </w:rPr>
      </w:pPr>
    </w:p>
    <w:p w14:paraId="185221C4" w14:textId="77777777" w:rsidR="007F330C" w:rsidRPr="00FA6E02" w:rsidRDefault="007F330C" w:rsidP="00867113">
      <w:pPr>
        <w:pStyle w:val="SingleTxt"/>
        <w:spacing w:after="0" w:line="120" w:lineRule="exact"/>
        <w:contextualSpacing/>
        <w:rPr>
          <w:sz w:val="10"/>
        </w:rPr>
      </w:pPr>
    </w:p>
    <w:p w14:paraId="0D4F37E4" w14:textId="7FE143AE" w:rsidR="007A23C1" w:rsidRDefault="007A23C1" w:rsidP="007A23C1">
      <w:pPr>
        <w:pStyle w:val="SingleTxt"/>
        <w:numPr>
          <w:ilvl w:val="0"/>
          <w:numId w:val="35"/>
        </w:numPr>
        <w:ind w:left="1264" w:firstLine="0"/>
      </w:pPr>
      <w:r>
        <w:t>[Identification of technical assistance needs, priorities and actions to improve implementation of the articles of the [Convention] [respective Protocol thereto] under review, where applicable]</w:t>
      </w:r>
    </w:p>
    <w:p w14:paraId="5B2D49C5" w14:textId="65697BAD" w:rsidR="00B635C0" w:rsidRDefault="00B635C0" w:rsidP="009B00F0">
      <w:pPr>
        <w:pStyle w:val="SingleTxt"/>
        <w:rPr>
          <w:lang w:val="en-US"/>
        </w:rPr>
      </w:pPr>
    </w:p>
    <w:p w14:paraId="22D0F60C" w14:textId="77777777" w:rsidR="00B635C0" w:rsidRDefault="00B635C0">
      <w:pPr>
        <w:suppressAutoHyphens w:val="0"/>
        <w:spacing w:after="200" w:line="276" w:lineRule="auto"/>
        <w:rPr>
          <w:lang w:val="en-US"/>
        </w:rPr>
      </w:pPr>
      <w:r>
        <w:rPr>
          <w:lang w:val="en-US"/>
        </w:rPr>
        <w:br w:type="page"/>
      </w:r>
    </w:p>
    <w:p w14:paraId="2B23CA6C" w14:textId="3C611C69" w:rsidR="00B635C0" w:rsidRDefault="00B635C0" w:rsidP="00B635C0">
      <w:pPr>
        <w:pStyle w:val="H1"/>
        <w:ind w:left="1267" w:right="1260" w:hanging="1267"/>
      </w:pPr>
      <w:r>
        <w:t>Annex</w:t>
      </w:r>
    </w:p>
    <w:p w14:paraId="5CE2612F" w14:textId="75B13AA5" w:rsidR="00B635C0" w:rsidRPr="00553B0F" w:rsidRDefault="00B635C0" w:rsidP="00B635C0">
      <w:pPr>
        <w:pStyle w:val="H1"/>
        <w:ind w:left="1267" w:right="1260" w:hanging="1267"/>
      </w:pPr>
      <w:r w:rsidRPr="00553B0F">
        <w:t>Resolution</w:t>
      </w:r>
      <w:r w:rsidRPr="00E820BE">
        <w:t xml:space="preserve"> 9/1</w:t>
      </w:r>
    </w:p>
    <w:p w14:paraId="73B73325" w14:textId="77777777" w:rsidR="00B635C0" w:rsidRPr="00553B0F" w:rsidRDefault="00B635C0" w:rsidP="00B635C0">
      <w:pPr>
        <w:pStyle w:val="SingleTxt"/>
        <w:spacing w:after="0" w:line="120" w:lineRule="atLeast"/>
        <w:ind w:hanging="1267"/>
        <w:rPr>
          <w:sz w:val="10"/>
        </w:rPr>
      </w:pPr>
    </w:p>
    <w:p w14:paraId="563201EF" w14:textId="77777777" w:rsidR="00B635C0" w:rsidRPr="00553B0F" w:rsidRDefault="00B635C0" w:rsidP="00B635C0">
      <w:pPr>
        <w:pStyle w:val="SingleTxt"/>
        <w:spacing w:after="0" w:line="120" w:lineRule="atLeast"/>
        <w:ind w:hanging="1267"/>
        <w:rPr>
          <w:sz w:val="10"/>
        </w:rPr>
      </w:pPr>
    </w:p>
    <w:p w14:paraId="57811274" w14:textId="77777777" w:rsidR="00B635C0" w:rsidRPr="00553B0F" w:rsidRDefault="00B635C0" w:rsidP="00B635C0">
      <w:pPr>
        <w:pStyle w:val="H1"/>
        <w:ind w:left="1267" w:right="1260" w:hanging="1267"/>
      </w:pPr>
      <w:r w:rsidRPr="00553B0F">
        <w:tab/>
      </w:r>
      <w:r w:rsidRPr="00553B0F">
        <w:tab/>
        <w:t>Establishment of the Mechanism for the Review of the Implementation of the United Nations Convention against Transnational Organized Crime and the Protocols thereto</w:t>
      </w:r>
    </w:p>
    <w:p w14:paraId="0DADC3CF" w14:textId="77777777" w:rsidR="00B635C0" w:rsidRPr="00553B0F" w:rsidRDefault="00B635C0" w:rsidP="00B635C0">
      <w:pPr>
        <w:pStyle w:val="SingleTxt"/>
        <w:spacing w:after="0" w:line="120" w:lineRule="atLeast"/>
        <w:ind w:hanging="1267"/>
        <w:rPr>
          <w:b/>
          <w:sz w:val="10"/>
        </w:rPr>
      </w:pPr>
      <w:r w:rsidRPr="00553B0F">
        <w:rPr>
          <w:b/>
          <w:i/>
        </w:rPr>
        <w:tab/>
      </w:r>
    </w:p>
    <w:p w14:paraId="5E3DA39B" w14:textId="77777777" w:rsidR="00B635C0" w:rsidRPr="00553B0F" w:rsidRDefault="00B635C0" w:rsidP="00B635C0">
      <w:pPr>
        <w:pStyle w:val="SingleTxt"/>
        <w:spacing w:after="0" w:line="120" w:lineRule="atLeast"/>
        <w:ind w:hanging="1267"/>
        <w:rPr>
          <w:b/>
          <w:sz w:val="10"/>
        </w:rPr>
      </w:pPr>
    </w:p>
    <w:p w14:paraId="7DBA4F1E" w14:textId="77777777" w:rsidR="00B635C0" w:rsidRPr="00553B0F" w:rsidRDefault="00B635C0" w:rsidP="00B635C0">
      <w:pPr>
        <w:pStyle w:val="SingleTxt"/>
        <w:ind w:hanging="1267"/>
        <w:rPr>
          <w:i/>
        </w:rPr>
      </w:pPr>
      <w:r w:rsidRPr="00553B0F">
        <w:rPr>
          <w:i/>
        </w:rPr>
        <w:tab/>
      </w:r>
      <w:r>
        <w:rPr>
          <w:i/>
        </w:rPr>
        <w:tab/>
      </w:r>
      <w:r w:rsidRPr="00553B0F">
        <w:rPr>
          <w:i/>
        </w:rPr>
        <w:tab/>
        <w:t>The Conference of the Parties to the United Nations Convention against Transnational Organized Crime</w:t>
      </w:r>
      <w:r w:rsidRPr="00553B0F">
        <w:rPr>
          <w:iCs/>
        </w:rPr>
        <w:t>,</w:t>
      </w:r>
    </w:p>
    <w:p w14:paraId="6F7A1B9F" w14:textId="77777777" w:rsidR="00B635C0" w:rsidRPr="00553B0F" w:rsidRDefault="00B635C0" w:rsidP="00B635C0">
      <w:pPr>
        <w:pStyle w:val="SingleTxt"/>
        <w:ind w:hanging="1267"/>
      </w:pPr>
      <w:r w:rsidRPr="00553B0F">
        <w:rPr>
          <w:i/>
        </w:rPr>
        <w:tab/>
      </w:r>
      <w:r>
        <w:rPr>
          <w:i/>
        </w:rPr>
        <w:tab/>
      </w:r>
      <w:r w:rsidRPr="00553B0F">
        <w:rPr>
          <w:i/>
        </w:rPr>
        <w:tab/>
        <w:t>Recalling</w:t>
      </w:r>
      <w:r w:rsidRPr="00553B0F">
        <w:t xml:space="preserve"> that the United Nations Convention against Transnational Organized Crime and the Protocols thereto</w:t>
      </w:r>
      <w:r w:rsidRPr="00553B0F">
        <w:rPr>
          <w:vertAlign w:val="superscript"/>
        </w:rPr>
        <w:footnoteReference w:id="10"/>
      </w:r>
      <w:r w:rsidRPr="00553B0F">
        <w:t xml:space="preserve"> represent the principal worldwide legal instruments to combat the scourge of transnational organized crime, which affects individuals and societies in all countries, and reaffirming their importance as the main tools available to the international community for this purpose, </w:t>
      </w:r>
    </w:p>
    <w:p w14:paraId="3A8287FE" w14:textId="77777777" w:rsidR="00B635C0" w:rsidRPr="00553B0F" w:rsidRDefault="00B635C0" w:rsidP="00B635C0">
      <w:pPr>
        <w:pStyle w:val="SingleTxt"/>
        <w:ind w:hanging="1267"/>
      </w:pPr>
      <w:r w:rsidRPr="00553B0F">
        <w:rPr>
          <w:i/>
        </w:rPr>
        <w:tab/>
      </w:r>
      <w:r>
        <w:rPr>
          <w:i/>
        </w:rPr>
        <w:tab/>
      </w:r>
      <w:r w:rsidRPr="00553B0F">
        <w:rPr>
          <w:i/>
        </w:rPr>
        <w:tab/>
        <w:t>Reaffirming</w:t>
      </w:r>
      <w:r w:rsidRPr="00553B0F">
        <w:t xml:space="preserve"> that the purpose of the Convention and the Protocols thereto is, inter alia, to promote cooperation to prevent and combat transnational organized crime more effectively, and stressing the need to take additional concerted action to reinforce the implementation of the Convention and the Protocols thereto by States parties and to identify related technical assistance needs,</w:t>
      </w:r>
    </w:p>
    <w:p w14:paraId="3CA7DE09" w14:textId="77777777" w:rsidR="00B635C0" w:rsidRPr="00553B0F" w:rsidRDefault="00B635C0" w:rsidP="00B635C0">
      <w:pPr>
        <w:pStyle w:val="SingleTxt"/>
        <w:ind w:hanging="1267"/>
      </w:pPr>
      <w:r w:rsidRPr="00553B0F">
        <w:rPr>
          <w:i/>
        </w:rPr>
        <w:tab/>
      </w:r>
      <w:r>
        <w:rPr>
          <w:i/>
        </w:rPr>
        <w:tab/>
      </w:r>
      <w:r w:rsidRPr="00553B0F">
        <w:rPr>
          <w:i/>
        </w:rPr>
        <w:tab/>
        <w:t>Recalling</w:t>
      </w:r>
      <w:r w:rsidRPr="00553B0F">
        <w:t xml:space="preserve"> article 32 of the Convention, pursuant to which the Conference of the Parties to the United Nations Convention against Transnational Organized Crime was established to improve the capacity of States parties to combat transnational organized crime and promote and review the implementation of the Convention, </w:t>
      </w:r>
    </w:p>
    <w:p w14:paraId="0EFDD30B" w14:textId="77777777" w:rsidR="00B635C0" w:rsidRPr="00553B0F" w:rsidRDefault="00B635C0" w:rsidP="00B635C0">
      <w:pPr>
        <w:pStyle w:val="SingleTxt"/>
        <w:ind w:hanging="1267"/>
      </w:pPr>
      <w:r w:rsidRPr="00553B0F">
        <w:rPr>
          <w:i/>
        </w:rPr>
        <w:tab/>
      </w:r>
      <w:r>
        <w:rPr>
          <w:i/>
        </w:rPr>
        <w:tab/>
      </w:r>
      <w:r w:rsidRPr="00553B0F">
        <w:rPr>
          <w:i/>
        </w:rPr>
        <w:tab/>
        <w:t>Reaffirming</w:t>
      </w:r>
      <w:r w:rsidRPr="00553B0F">
        <w:t xml:space="preserve"> its decision</w:t>
      </w:r>
      <w:r w:rsidRPr="00E820BE">
        <w:t xml:space="preserve"> 1/2</w:t>
      </w:r>
      <w:r w:rsidRPr="00553B0F">
        <w:t xml:space="preserve"> of 7 July 2004, in which the Conference decided to carry out the functions assigned to it in article 32 of the Convention, </w:t>
      </w:r>
    </w:p>
    <w:p w14:paraId="3A960352" w14:textId="77777777" w:rsidR="00B635C0" w:rsidRPr="00553B0F" w:rsidRDefault="00B635C0" w:rsidP="00B635C0">
      <w:pPr>
        <w:pStyle w:val="SingleTxt"/>
        <w:ind w:hanging="1267"/>
      </w:pPr>
      <w:r w:rsidRPr="00553B0F">
        <w:rPr>
          <w:i/>
        </w:rPr>
        <w:tab/>
      </w:r>
      <w:r w:rsidRPr="00553B0F">
        <w:rPr>
          <w:i/>
        </w:rPr>
        <w:tab/>
      </w:r>
      <w:r>
        <w:rPr>
          <w:i/>
        </w:rPr>
        <w:tab/>
      </w:r>
      <w:r w:rsidRPr="00553B0F">
        <w:rPr>
          <w:i/>
        </w:rPr>
        <w:t>Recalling</w:t>
      </w:r>
      <w:r w:rsidRPr="00553B0F">
        <w:t xml:space="preserve"> that in article 32 of the Convention it is stated that the Conference shall agree upon mechanisms for achieving, inter alia, the objective of periodically reviewing the implementation of the Convention, </w:t>
      </w:r>
    </w:p>
    <w:p w14:paraId="280A2EB7" w14:textId="77777777" w:rsidR="00B635C0" w:rsidRPr="00553B0F" w:rsidRDefault="00B635C0" w:rsidP="00B635C0">
      <w:pPr>
        <w:pStyle w:val="SingleTxt"/>
        <w:ind w:hanging="1267"/>
      </w:pPr>
      <w:r w:rsidRPr="00553B0F">
        <w:rPr>
          <w:i/>
        </w:rPr>
        <w:tab/>
      </w:r>
      <w:r w:rsidRPr="00553B0F">
        <w:rPr>
          <w:i/>
        </w:rPr>
        <w:tab/>
      </w:r>
      <w:r>
        <w:rPr>
          <w:i/>
        </w:rPr>
        <w:tab/>
      </w:r>
      <w:r w:rsidRPr="00553B0F">
        <w:rPr>
          <w:i/>
        </w:rPr>
        <w:t>Recalling also</w:t>
      </w:r>
      <w:r w:rsidRPr="00553B0F">
        <w:rPr>
          <w:iCs/>
        </w:rPr>
        <w:t>,</w:t>
      </w:r>
      <w:r w:rsidRPr="00553B0F">
        <w:t xml:space="preserve"> in that regard, its resolutions</w:t>
      </w:r>
      <w:r w:rsidRPr="00E820BE">
        <w:t xml:space="preserve"> 5/1</w:t>
      </w:r>
      <w:r w:rsidRPr="00553B0F">
        <w:t xml:space="preserve"> of 22 October 2010,</w:t>
      </w:r>
      <w:r w:rsidRPr="00E820BE">
        <w:t xml:space="preserve"> 5/5</w:t>
      </w:r>
      <w:r w:rsidRPr="00553B0F">
        <w:t xml:space="preserve"> of </w:t>
      </w:r>
      <w:r w:rsidRPr="00553B0F">
        <w:br/>
        <w:t>22 October 2010,</w:t>
      </w:r>
      <w:r w:rsidRPr="00E820BE">
        <w:t xml:space="preserve"> 6/1</w:t>
      </w:r>
      <w:r w:rsidRPr="00553B0F">
        <w:t xml:space="preserve"> of 19 October 2012, and</w:t>
      </w:r>
      <w:r w:rsidRPr="00E820BE">
        <w:t xml:space="preserve"> 7/1</w:t>
      </w:r>
      <w:r w:rsidRPr="00553B0F">
        <w:t xml:space="preserve"> of 10 October 2014, </w:t>
      </w:r>
    </w:p>
    <w:p w14:paraId="29AEF8BA" w14:textId="77777777" w:rsidR="00B635C0" w:rsidRPr="00553B0F" w:rsidRDefault="00B635C0" w:rsidP="00B635C0">
      <w:pPr>
        <w:pStyle w:val="SingleTxt"/>
        <w:ind w:hanging="1267"/>
      </w:pPr>
      <w:r w:rsidRPr="00553B0F">
        <w:rPr>
          <w:i/>
        </w:rPr>
        <w:tab/>
      </w:r>
      <w:r w:rsidRPr="00553B0F">
        <w:rPr>
          <w:i/>
        </w:rPr>
        <w:tab/>
      </w:r>
      <w:r>
        <w:rPr>
          <w:i/>
        </w:rPr>
        <w:tab/>
      </w:r>
      <w:r w:rsidRPr="00553B0F">
        <w:rPr>
          <w:i/>
        </w:rPr>
        <w:t>Recalling</w:t>
      </w:r>
      <w:r w:rsidRPr="00553B0F">
        <w:t xml:space="preserve"> </w:t>
      </w:r>
      <w:r w:rsidRPr="00553B0F">
        <w:rPr>
          <w:i/>
          <w:iCs/>
        </w:rPr>
        <w:t>further</w:t>
      </w:r>
      <w:r w:rsidRPr="00553B0F">
        <w:t xml:space="preserve"> its resolution</w:t>
      </w:r>
      <w:r w:rsidRPr="00E820BE">
        <w:t xml:space="preserve"> 8/2</w:t>
      </w:r>
      <w:r w:rsidRPr="00553B0F">
        <w:t xml:space="preserve"> of 21 October 2016, in which it decided to continue the process of establishing the mechanism for the review of the implementation of the Convention and the Protocols thereto and to elaborate specific procedures and rules for the functioning of the mechanism for consideration and adoption by the Conference at its ninth session, </w:t>
      </w:r>
    </w:p>
    <w:p w14:paraId="3888ADAB" w14:textId="77777777" w:rsidR="00B635C0" w:rsidRPr="00553B0F" w:rsidRDefault="00B635C0" w:rsidP="00B635C0">
      <w:pPr>
        <w:pStyle w:val="SingleTxt"/>
        <w:ind w:hanging="1267"/>
      </w:pPr>
      <w:r w:rsidRPr="00553B0F">
        <w:rPr>
          <w:i/>
        </w:rPr>
        <w:tab/>
      </w:r>
      <w:r w:rsidRPr="00553B0F">
        <w:rPr>
          <w:i/>
        </w:rPr>
        <w:tab/>
      </w:r>
      <w:r>
        <w:rPr>
          <w:i/>
        </w:rPr>
        <w:tab/>
      </w:r>
      <w:r w:rsidRPr="00553B0F">
        <w:rPr>
          <w:i/>
        </w:rPr>
        <w:t xml:space="preserve">Taking </w:t>
      </w:r>
      <w:r w:rsidRPr="00553B0F">
        <w:rPr>
          <w:i/>
          <w:spacing w:val="2"/>
          <w:w w:val="101"/>
        </w:rPr>
        <w:t xml:space="preserve">note </w:t>
      </w:r>
      <w:r w:rsidRPr="00553B0F">
        <w:rPr>
          <w:iCs/>
          <w:spacing w:val="2"/>
          <w:w w:val="101"/>
        </w:rPr>
        <w:t>of</w:t>
      </w:r>
      <w:r w:rsidRPr="00553B0F">
        <w:rPr>
          <w:i/>
          <w:spacing w:val="2"/>
          <w:w w:val="101"/>
        </w:rPr>
        <w:t xml:space="preserve"> </w:t>
      </w:r>
      <w:r w:rsidRPr="00553B0F">
        <w:rPr>
          <w:spacing w:val="2"/>
          <w:w w:val="101"/>
        </w:rPr>
        <w:t xml:space="preserve">relevant General Assembly resolutions, including resolution </w:t>
      </w:r>
      <w:hyperlink r:id="rId13" w:history="1">
        <w:r w:rsidRPr="00553B0F">
          <w:rPr>
            <w:rStyle w:val="Hyperlink"/>
            <w:spacing w:val="2"/>
            <w:w w:val="101"/>
          </w:rPr>
          <w:t>72/196</w:t>
        </w:r>
      </w:hyperlink>
      <w:r w:rsidRPr="00553B0F">
        <w:t xml:space="preserve"> of 19 December 2017, entitled “Strengthening the United Nations crime prevention and criminal justice programme, in particular its technical cooperation capacity”, in which the Assembly welcomed with appreciation the decision of the Conference at its eighth session to continue the process of establishing a mechanism for the review of the implementation of the Convention and the Protocols thereto, </w:t>
      </w:r>
    </w:p>
    <w:p w14:paraId="6E7B5881" w14:textId="77777777" w:rsidR="00B635C0" w:rsidRPr="00553B0F" w:rsidRDefault="00B635C0" w:rsidP="00B635C0">
      <w:pPr>
        <w:pStyle w:val="SingleTxt"/>
        <w:ind w:hanging="1267"/>
      </w:pPr>
      <w:r w:rsidRPr="00553B0F">
        <w:rPr>
          <w:i/>
        </w:rPr>
        <w:tab/>
      </w:r>
      <w:r w:rsidRPr="00553B0F">
        <w:rPr>
          <w:i/>
        </w:rPr>
        <w:tab/>
      </w:r>
      <w:r>
        <w:rPr>
          <w:i/>
        </w:rPr>
        <w:tab/>
      </w:r>
      <w:r w:rsidRPr="00553B0F">
        <w:rPr>
          <w:i/>
        </w:rPr>
        <w:t>Recalling</w:t>
      </w:r>
      <w:r w:rsidRPr="00553B0F">
        <w:t xml:space="preserve"> articles 2 and 37 of the Convention concerning, respectively, the use of terms and the relation between the Convention and the Protocols thereto, as well as the common article 1 of each Protocol to the Convention, </w:t>
      </w:r>
    </w:p>
    <w:p w14:paraId="0CFF2F79" w14:textId="77777777" w:rsidR="00B635C0" w:rsidRPr="00553B0F" w:rsidRDefault="00B635C0" w:rsidP="00B635C0">
      <w:pPr>
        <w:pStyle w:val="SingleTxt"/>
        <w:ind w:hanging="1267"/>
      </w:pPr>
      <w:r w:rsidRPr="00553B0F">
        <w:rPr>
          <w:i/>
        </w:rPr>
        <w:tab/>
      </w:r>
      <w:r w:rsidRPr="00553B0F">
        <w:rPr>
          <w:i/>
        </w:rPr>
        <w:tab/>
      </w:r>
      <w:bookmarkStart w:id="1" w:name="_Hlk529369694"/>
      <w:r>
        <w:rPr>
          <w:i/>
        </w:rPr>
        <w:tab/>
      </w:r>
      <w:r w:rsidRPr="00553B0F">
        <w:rPr>
          <w:i/>
        </w:rPr>
        <w:t>Recalling</w:t>
      </w:r>
      <w:r w:rsidRPr="00553B0F">
        <w:t xml:space="preserve"> </w:t>
      </w:r>
      <w:r w:rsidRPr="00553B0F">
        <w:rPr>
          <w:i/>
        </w:rPr>
        <w:t>also</w:t>
      </w:r>
      <w:r w:rsidRPr="00553B0F">
        <w:t xml:space="preserve"> articles 29 and 30 of the Convention, and stressing the connections between the review of the implementation of the Convention and the Protocols thereto, the technical assistance programmes provided to requesting States parties and international cooperation </w:t>
      </w:r>
      <w:r>
        <w:t>to combat</w:t>
      </w:r>
      <w:r w:rsidRPr="00553B0F">
        <w:t xml:space="preserve"> transnational organized crime,</w:t>
      </w:r>
      <w:bookmarkEnd w:id="1"/>
      <w:r w:rsidRPr="00553B0F">
        <w:t xml:space="preserve"> </w:t>
      </w:r>
    </w:p>
    <w:p w14:paraId="34CCE9EF" w14:textId="77777777" w:rsidR="00B635C0" w:rsidRPr="00553B0F" w:rsidRDefault="00B635C0" w:rsidP="00B635C0">
      <w:pPr>
        <w:pStyle w:val="SingleTxt"/>
        <w:ind w:hanging="1267"/>
      </w:pPr>
      <w:r w:rsidRPr="00553B0F">
        <w:rPr>
          <w:i/>
        </w:rPr>
        <w:tab/>
      </w:r>
      <w:r w:rsidRPr="00553B0F">
        <w:rPr>
          <w:i/>
        </w:rPr>
        <w:tab/>
      </w:r>
      <w:r>
        <w:rPr>
          <w:i/>
        </w:rPr>
        <w:tab/>
      </w:r>
      <w:r w:rsidRPr="00553B0F">
        <w:rPr>
          <w:iCs/>
        </w:rPr>
        <w:t>1.</w:t>
      </w:r>
      <w:r w:rsidRPr="00553B0F">
        <w:rPr>
          <w:iCs/>
        </w:rPr>
        <w:tab/>
      </w:r>
      <w:r w:rsidRPr="00553B0F">
        <w:rPr>
          <w:i/>
        </w:rPr>
        <w:t>Takes</w:t>
      </w:r>
      <w:r w:rsidRPr="00553B0F">
        <w:t xml:space="preserve"> </w:t>
      </w:r>
      <w:r w:rsidRPr="00553B0F">
        <w:rPr>
          <w:i/>
        </w:rPr>
        <w:t>note with appreciation</w:t>
      </w:r>
      <w:r w:rsidRPr="00553B0F">
        <w:t xml:space="preserve"> of the work of the open-ended intergovernmental meeting for the purpose of defining the specific procedures and rules for the functioning of the review mechanism for the United Nations Convention against Transnational Organized Crime and the Protocols thereto,</w:t>
      </w:r>
      <w:r w:rsidRPr="00553B0F">
        <w:rPr>
          <w:vertAlign w:val="superscript"/>
        </w:rPr>
        <w:t>1</w:t>
      </w:r>
      <w:r w:rsidRPr="00553B0F">
        <w:t xml:space="preserve"> which was convened in Vienna from 24 to 26 April 2017, from 30 October to 1 November 2017, and from 21 to 23 March 2018; </w:t>
      </w:r>
    </w:p>
    <w:p w14:paraId="34373969" w14:textId="77777777" w:rsidR="00B635C0" w:rsidRPr="00553B0F" w:rsidRDefault="00B635C0" w:rsidP="00B635C0">
      <w:pPr>
        <w:pStyle w:val="SingleTxt"/>
        <w:ind w:hanging="1267"/>
        <w:rPr>
          <w:i/>
        </w:rPr>
      </w:pPr>
      <w:r w:rsidRPr="00553B0F">
        <w:rPr>
          <w:i/>
        </w:rPr>
        <w:tab/>
      </w:r>
      <w:r w:rsidRPr="00553B0F">
        <w:rPr>
          <w:i/>
        </w:rPr>
        <w:tab/>
      </w:r>
      <w:r>
        <w:rPr>
          <w:i/>
        </w:rPr>
        <w:tab/>
      </w:r>
      <w:r w:rsidRPr="00553B0F">
        <w:rPr>
          <w:iCs/>
        </w:rPr>
        <w:t>2.</w:t>
      </w:r>
      <w:r w:rsidRPr="00553B0F">
        <w:rPr>
          <w:i/>
        </w:rPr>
        <w:tab/>
        <w:t>Adopts</w:t>
      </w:r>
      <w:r w:rsidRPr="00553B0F">
        <w:t xml:space="preserve">, subject to the provisions of the present resolution, the </w:t>
      </w:r>
      <w:r>
        <w:t>p</w:t>
      </w:r>
      <w:r w:rsidRPr="00553B0F">
        <w:t xml:space="preserve">rocedures and </w:t>
      </w:r>
      <w:r>
        <w:t>r</w:t>
      </w:r>
      <w:r w:rsidRPr="00553B0F">
        <w:t xml:space="preserve">ules for the </w:t>
      </w:r>
      <w:r>
        <w:t>f</w:t>
      </w:r>
      <w:r w:rsidRPr="00553B0F">
        <w:t>unctioning of the Mechanism for the Review of the Implementation of the United Nations Convention against Transnational Organized Crime and the Protocols thereto, contained in the annex to the present resolution;</w:t>
      </w:r>
      <w:r w:rsidRPr="00553B0F">
        <w:rPr>
          <w:vertAlign w:val="superscript"/>
        </w:rPr>
        <w:footnoteReference w:id="11"/>
      </w:r>
    </w:p>
    <w:p w14:paraId="45A244D7" w14:textId="77777777" w:rsidR="00B635C0" w:rsidRPr="00553B0F" w:rsidRDefault="00B635C0" w:rsidP="00B635C0">
      <w:pPr>
        <w:pStyle w:val="SingleTxt"/>
        <w:ind w:hanging="1267"/>
      </w:pPr>
      <w:r w:rsidRPr="00553B0F">
        <w:rPr>
          <w:i/>
        </w:rPr>
        <w:tab/>
      </w:r>
      <w:r w:rsidRPr="00553B0F">
        <w:rPr>
          <w:i/>
        </w:rPr>
        <w:tab/>
      </w:r>
      <w:r>
        <w:rPr>
          <w:i/>
        </w:rPr>
        <w:tab/>
      </w:r>
      <w:r w:rsidRPr="00553B0F">
        <w:rPr>
          <w:iCs/>
        </w:rPr>
        <w:t>3.</w:t>
      </w:r>
      <w:r w:rsidRPr="00553B0F">
        <w:rPr>
          <w:i/>
        </w:rPr>
        <w:tab/>
        <w:t xml:space="preserve">Decides </w:t>
      </w:r>
      <w:r w:rsidRPr="00553B0F">
        <w:t xml:space="preserve">to launch the preparatory phase of the review process in accordance with the thematic clusters and multi-year workplan contained in tables 1 and 2 contained in the appendix to the </w:t>
      </w:r>
      <w:r>
        <w:t>p</w:t>
      </w:r>
      <w:r w:rsidRPr="00553B0F">
        <w:t xml:space="preserve">rocedures and </w:t>
      </w:r>
      <w:r>
        <w:t>r</w:t>
      </w:r>
      <w:r w:rsidRPr="00553B0F">
        <w:t xml:space="preserve">ules; </w:t>
      </w:r>
    </w:p>
    <w:p w14:paraId="7D37C1D2" w14:textId="77777777" w:rsidR="00B635C0" w:rsidRPr="00553B0F" w:rsidRDefault="00B635C0" w:rsidP="00B635C0">
      <w:pPr>
        <w:pStyle w:val="SingleTxt"/>
        <w:ind w:hanging="1267"/>
      </w:pPr>
      <w:r w:rsidRPr="00553B0F">
        <w:rPr>
          <w:i/>
        </w:rPr>
        <w:tab/>
      </w:r>
      <w:r w:rsidRPr="00553B0F">
        <w:rPr>
          <w:i/>
        </w:rPr>
        <w:tab/>
      </w:r>
      <w:r>
        <w:rPr>
          <w:i/>
        </w:rPr>
        <w:tab/>
      </w:r>
      <w:r w:rsidRPr="00553B0F">
        <w:rPr>
          <w:iCs/>
        </w:rPr>
        <w:t>4.</w:t>
      </w:r>
      <w:r w:rsidRPr="00553B0F">
        <w:rPr>
          <w:iCs/>
        </w:rPr>
        <w:tab/>
      </w:r>
      <w:r w:rsidRPr="00553B0F">
        <w:rPr>
          <w:i/>
        </w:rPr>
        <w:t>Takes note with appreciation</w:t>
      </w:r>
      <w:r w:rsidRPr="00553B0F">
        <w:t xml:space="preserve"> of the progress made by the working groups in the definition of the self-assessment questionnaires for the review of the implementation of the Convention and the Protocols thereto, as mandated by the Conference in its resolution</w:t>
      </w:r>
      <w:r w:rsidRPr="00E820BE">
        <w:t xml:space="preserve"> 8/2</w:t>
      </w:r>
      <w:r w:rsidRPr="00553B0F">
        <w:t xml:space="preserve"> of 21 October 2016; </w:t>
      </w:r>
    </w:p>
    <w:p w14:paraId="5F138DB2" w14:textId="77777777" w:rsidR="00B635C0" w:rsidRPr="00553B0F" w:rsidRDefault="00B635C0" w:rsidP="00B635C0">
      <w:pPr>
        <w:pStyle w:val="SingleTxt"/>
        <w:ind w:hanging="1267"/>
      </w:pPr>
      <w:r w:rsidRPr="00553B0F">
        <w:rPr>
          <w:iCs/>
        </w:rPr>
        <w:tab/>
      </w:r>
      <w:r>
        <w:rPr>
          <w:iCs/>
        </w:rPr>
        <w:tab/>
      </w:r>
      <w:r w:rsidRPr="00553B0F">
        <w:rPr>
          <w:iCs/>
        </w:rPr>
        <w:tab/>
        <w:t>5.</w:t>
      </w:r>
      <w:r w:rsidRPr="00553B0F">
        <w:rPr>
          <w:iCs/>
        </w:rPr>
        <w:tab/>
      </w:r>
      <w:r w:rsidRPr="00553B0F">
        <w:rPr>
          <w:i/>
        </w:rPr>
        <w:t>Welcomes</w:t>
      </w:r>
      <w:r w:rsidRPr="00553B0F">
        <w:rPr>
          <w:iCs/>
        </w:rPr>
        <w:t xml:space="preserve"> the finalization, by the Working Group on the Smuggling of Migrants, of the self-</w:t>
      </w:r>
      <w:r w:rsidRPr="00553B0F">
        <w:t>assessment questionnaire related to the review of the Protocol against the Smuggling of Migrants by Land, Sea and Air, which will provide, once harmonized with other self-assessment questionnaires and adopted by the Conference, the basis for the review of the implementation of the Smuggling of Migrants Protocol;</w:t>
      </w:r>
    </w:p>
    <w:p w14:paraId="0C2FE1F9" w14:textId="77777777" w:rsidR="00B635C0" w:rsidRPr="00553B0F" w:rsidRDefault="00B635C0" w:rsidP="00B635C0">
      <w:pPr>
        <w:pStyle w:val="SingleTxt"/>
        <w:ind w:hanging="1267"/>
        <w:rPr>
          <w:iCs/>
        </w:rPr>
      </w:pPr>
      <w:r w:rsidRPr="00553B0F">
        <w:rPr>
          <w:iCs/>
        </w:rPr>
        <w:tab/>
      </w:r>
      <w:r w:rsidRPr="00553B0F">
        <w:rPr>
          <w:iCs/>
        </w:rPr>
        <w:tab/>
      </w:r>
      <w:r>
        <w:rPr>
          <w:iCs/>
        </w:rPr>
        <w:tab/>
      </w:r>
      <w:r w:rsidRPr="00553B0F">
        <w:rPr>
          <w:iCs/>
        </w:rPr>
        <w:t>6.</w:t>
      </w:r>
      <w:r w:rsidRPr="00553B0F">
        <w:rPr>
          <w:iCs/>
        </w:rPr>
        <w:tab/>
      </w:r>
      <w:bookmarkStart w:id="2" w:name="_Hlk529369710"/>
      <w:r w:rsidRPr="00553B0F">
        <w:rPr>
          <w:i/>
          <w:iCs/>
        </w:rPr>
        <w:t>Requests</w:t>
      </w:r>
      <w:r w:rsidRPr="00553B0F">
        <w:rPr>
          <w:iCs/>
        </w:rPr>
        <w:t xml:space="preserve"> the United Nations Office on Drugs and Crime to convene, within existing resources, at least one meeting of an open-ended intergovernmental expert group for the purpose of finalizing and harmonizing, as necessary, the self-assessment questionnaires and preparing the guidelines for conducting the country reviews and a blueprint for the lists of observations and the summaries, referred to in the annex to the present resolution.</w:t>
      </w:r>
      <w:bookmarkEnd w:id="2"/>
      <w:r w:rsidRPr="00553B0F">
        <w:rPr>
          <w:iCs/>
        </w:rPr>
        <w:t xml:space="preserve"> The outcome of the work of the open-ended intergovernmental expert group is to be submitted to the Conference for its consideration at its </w:t>
      </w:r>
      <w:r w:rsidRPr="00553B0F">
        <w:rPr>
          <w:iCs/>
        </w:rPr>
        <w:br/>
        <w:t>tenth session;</w:t>
      </w:r>
    </w:p>
    <w:p w14:paraId="23FCCE0C" w14:textId="77777777" w:rsidR="00B635C0" w:rsidRPr="00553B0F" w:rsidRDefault="00B635C0" w:rsidP="00B635C0">
      <w:pPr>
        <w:pStyle w:val="SingleTxt"/>
        <w:ind w:hanging="1267"/>
        <w:rPr>
          <w:iCs/>
        </w:rPr>
      </w:pPr>
      <w:bookmarkStart w:id="3" w:name="_Hlk526261988"/>
      <w:r w:rsidRPr="00553B0F">
        <w:rPr>
          <w:iCs/>
        </w:rPr>
        <w:tab/>
      </w:r>
      <w:r w:rsidRPr="00553B0F">
        <w:rPr>
          <w:iCs/>
        </w:rPr>
        <w:tab/>
      </w:r>
      <w:r>
        <w:rPr>
          <w:iCs/>
        </w:rPr>
        <w:tab/>
      </w:r>
      <w:r w:rsidRPr="00553B0F">
        <w:rPr>
          <w:iCs/>
        </w:rPr>
        <w:t>7.</w:t>
      </w:r>
      <w:r w:rsidRPr="00553B0F">
        <w:rPr>
          <w:iCs/>
        </w:rPr>
        <w:tab/>
      </w:r>
      <w:bookmarkStart w:id="4" w:name="_Hlk529369695"/>
      <w:r w:rsidRPr="00553B0F">
        <w:rPr>
          <w:i/>
          <w:iCs/>
        </w:rPr>
        <w:t xml:space="preserve">Invites </w:t>
      </w:r>
      <w:r w:rsidRPr="00553B0F">
        <w:rPr>
          <w:iCs/>
        </w:rPr>
        <w:t>the President of the Conference of the Parties, with the support of the Bureau, to facilitate the work of the open-ended intergovernmental expert group described in paragraph 6 above through informal consultations, and requests the Secretariat to support this process, including by preparing a draft of the guidelines and the blueprints, for consideration by the open-ended intergovernmental expert group;</w:t>
      </w:r>
      <w:bookmarkEnd w:id="4"/>
    </w:p>
    <w:p w14:paraId="34796BDD" w14:textId="77777777" w:rsidR="00B635C0" w:rsidRPr="00553B0F" w:rsidRDefault="00B635C0" w:rsidP="00B635C0">
      <w:pPr>
        <w:pStyle w:val="SingleTxt"/>
        <w:ind w:hanging="1267"/>
      </w:pPr>
      <w:r w:rsidRPr="00553B0F">
        <w:rPr>
          <w:iCs/>
        </w:rPr>
        <w:tab/>
      </w:r>
      <w:r w:rsidRPr="00553B0F">
        <w:rPr>
          <w:iCs/>
        </w:rPr>
        <w:tab/>
      </w:r>
      <w:r>
        <w:rPr>
          <w:iCs/>
        </w:rPr>
        <w:tab/>
      </w:r>
      <w:r w:rsidRPr="00553B0F">
        <w:t>8.</w:t>
      </w:r>
      <w:r w:rsidRPr="00553B0F">
        <w:tab/>
      </w:r>
      <w:bookmarkStart w:id="5" w:name="_Hlk529369696"/>
      <w:r w:rsidRPr="00553B0F">
        <w:rPr>
          <w:i/>
        </w:rPr>
        <w:t>Requests</w:t>
      </w:r>
      <w:r w:rsidRPr="00553B0F">
        <w:t xml:space="preserve"> the Secretariat, in close consultation with and reflecting inputs from States parties, including by means of a test phase, to further develop the knowledge management portal known as Sharing Electronic Resources and Laws on Crime, in accordance with the procedures and rules contained in the annex to the present resolution, and to </w:t>
      </w:r>
      <w:r>
        <w:t>brief</w:t>
      </w:r>
      <w:r w:rsidRPr="00553B0F">
        <w:t xml:space="preserve"> the Conference </w:t>
      </w:r>
      <w:r w:rsidRPr="006075E7">
        <w:t xml:space="preserve">about the updated portal </w:t>
      </w:r>
      <w:r w:rsidRPr="00553B0F">
        <w:t>for consideration at its tenth session;</w:t>
      </w:r>
      <w:bookmarkEnd w:id="3"/>
      <w:bookmarkEnd w:id="5"/>
      <w:r w:rsidRPr="00553B0F">
        <w:t xml:space="preserve"> </w:t>
      </w:r>
    </w:p>
    <w:p w14:paraId="312BDE65" w14:textId="77777777" w:rsidR="00B635C0" w:rsidRPr="00553B0F" w:rsidRDefault="00B635C0" w:rsidP="00B635C0">
      <w:pPr>
        <w:pStyle w:val="SingleTxt"/>
        <w:ind w:hanging="1267"/>
      </w:pPr>
      <w:r w:rsidRPr="00553B0F">
        <w:rPr>
          <w:i/>
        </w:rPr>
        <w:tab/>
      </w:r>
      <w:r>
        <w:rPr>
          <w:i/>
        </w:rPr>
        <w:tab/>
      </w:r>
      <w:r w:rsidRPr="00553B0F">
        <w:rPr>
          <w:i/>
        </w:rPr>
        <w:tab/>
      </w:r>
      <w:r w:rsidRPr="00553B0F">
        <w:t>9.</w:t>
      </w:r>
      <w:r w:rsidRPr="00553B0F">
        <w:tab/>
      </w:r>
      <w:bookmarkStart w:id="6" w:name="_Hlk529369697"/>
      <w:r w:rsidRPr="00553B0F">
        <w:rPr>
          <w:i/>
          <w:iCs/>
        </w:rPr>
        <w:t>Stresses</w:t>
      </w:r>
      <w:r w:rsidRPr="00553B0F">
        <w:t xml:space="preserve"> the importance of ensuring under future budget cycles the efficient, continued and impartial functioning of the Mechanism, in accordance with the provisions of the </w:t>
      </w:r>
      <w:r>
        <w:t>p</w:t>
      </w:r>
      <w:r w:rsidRPr="00553B0F">
        <w:t xml:space="preserve">rocedures and </w:t>
      </w:r>
      <w:r>
        <w:t>r</w:t>
      </w:r>
      <w:r w:rsidRPr="00553B0F">
        <w:t>ules contained in the annex to the present resolution, and decides to consider taking appropriate measures including, if necessary, requesting the Secretary-General to take appropriate action;</w:t>
      </w:r>
      <w:bookmarkEnd w:id="6"/>
      <w:r w:rsidRPr="00553B0F">
        <w:t xml:space="preserve"> </w:t>
      </w:r>
    </w:p>
    <w:p w14:paraId="7AFF8BC0" w14:textId="77777777" w:rsidR="00B635C0" w:rsidRPr="00553B0F" w:rsidRDefault="00B635C0" w:rsidP="00B635C0">
      <w:pPr>
        <w:pStyle w:val="SingleTxt"/>
        <w:ind w:hanging="1267"/>
      </w:pPr>
      <w:r w:rsidRPr="00553B0F">
        <w:rPr>
          <w:i/>
        </w:rPr>
        <w:tab/>
      </w:r>
      <w:r w:rsidRPr="00553B0F">
        <w:rPr>
          <w:i/>
        </w:rPr>
        <w:tab/>
      </w:r>
      <w:r>
        <w:rPr>
          <w:i/>
        </w:rPr>
        <w:tab/>
      </w:r>
      <w:r w:rsidRPr="00553B0F">
        <w:rPr>
          <w:iCs/>
        </w:rPr>
        <w:t>10.</w:t>
      </w:r>
      <w:r w:rsidRPr="00553B0F">
        <w:rPr>
          <w:iCs/>
        </w:rPr>
        <w:tab/>
      </w:r>
      <w:r w:rsidRPr="00553B0F">
        <w:rPr>
          <w:i/>
        </w:rPr>
        <w:t>Invites</w:t>
      </w:r>
      <w:r w:rsidRPr="00553B0F">
        <w:t xml:space="preserve"> Member States and other donors to provide extrabudgetary resources for the purposes set out in the present resolution, in accordance with the rules and procedures of the United Nations and with the </w:t>
      </w:r>
      <w:r>
        <w:t>p</w:t>
      </w:r>
      <w:r w:rsidRPr="00553B0F">
        <w:t xml:space="preserve">rocedures and </w:t>
      </w:r>
      <w:r>
        <w:t>r</w:t>
      </w:r>
      <w:r w:rsidRPr="00553B0F">
        <w:t xml:space="preserve">ules for the </w:t>
      </w:r>
      <w:r>
        <w:t>f</w:t>
      </w:r>
      <w:r w:rsidRPr="00553B0F">
        <w:t>unctioning of the Mechanism, contained in the annex to the present resolution, including its paragraph 54.</w:t>
      </w:r>
    </w:p>
    <w:p w14:paraId="38A13465" w14:textId="77777777" w:rsidR="00B635C0" w:rsidRPr="00553B0F" w:rsidRDefault="00B635C0" w:rsidP="00B635C0">
      <w:pPr>
        <w:pStyle w:val="SingleTxt"/>
        <w:ind w:hanging="1267"/>
      </w:pPr>
      <w:r w:rsidRPr="00553B0F">
        <w:br w:type="page"/>
      </w:r>
    </w:p>
    <w:p w14:paraId="1B63D30C" w14:textId="77777777" w:rsidR="00B635C0" w:rsidRPr="00553B0F" w:rsidRDefault="00B635C0" w:rsidP="00B635C0">
      <w:pPr>
        <w:pStyle w:val="HCh"/>
        <w:ind w:left="1267" w:right="1260" w:hanging="1267"/>
      </w:pPr>
      <w:r w:rsidRPr="00553B0F">
        <w:t>Annex</w:t>
      </w:r>
    </w:p>
    <w:p w14:paraId="5FA42A5B" w14:textId="77777777" w:rsidR="00B635C0" w:rsidRPr="00553B0F" w:rsidRDefault="00B635C0" w:rsidP="00B635C0">
      <w:pPr>
        <w:pStyle w:val="SingleTxt"/>
        <w:spacing w:after="0" w:line="120" w:lineRule="atLeast"/>
        <w:ind w:hanging="1267"/>
        <w:rPr>
          <w:sz w:val="10"/>
        </w:rPr>
      </w:pPr>
    </w:p>
    <w:p w14:paraId="37F9CB56" w14:textId="77777777" w:rsidR="00B635C0" w:rsidRPr="00553B0F" w:rsidRDefault="00B635C0" w:rsidP="00B635C0">
      <w:pPr>
        <w:pStyle w:val="SingleTxt"/>
        <w:spacing w:after="0" w:line="120" w:lineRule="atLeast"/>
        <w:ind w:hanging="1267"/>
        <w:rPr>
          <w:sz w:val="10"/>
        </w:rPr>
      </w:pPr>
    </w:p>
    <w:p w14:paraId="04FA79C3" w14:textId="77777777" w:rsidR="00B635C0" w:rsidRPr="00553B0F" w:rsidRDefault="00B635C0" w:rsidP="00B635C0">
      <w:pPr>
        <w:pStyle w:val="HCh"/>
        <w:ind w:left="1267" w:right="1260" w:hanging="1267"/>
      </w:pPr>
      <w:r w:rsidRPr="00553B0F">
        <w:tab/>
      </w:r>
      <w:r w:rsidRPr="00553B0F">
        <w:tab/>
      </w:r>
      <w:bookmarkStart w:id="7" w:name="_Hlk526261989"/>
      <w:r w:rsidRPr="00553B0F">
        <w:t xml:space="preserve">Procedures and </w:t>
      </w:r>
      <w:r>
        <w:t>r</w:t>
      </w:r>
      <w:r w:rsidRPr="00553B0F">
        <w:t xml:space="preserve">ules for the </w:t>
      </w:r>
      <w:r>
        <w:t>f</w:t>
      </w:r>
      <w:r w:rsidRPr="00553B0F">
        <w:t xml:space="preserve">unctioning of the </w:t>
      </w:r>
      <w:bookmarkStart w:id="8" w:name="_Hlk529366549"/>
      <w:r w:rsidRPr="00553B0F">
        <w:t>Mechanism for the Review of the Implementation of the United Nations Convention against Transnational Organized Crime and the Protocols thereto</w:t>
      </w:r>
      <w:bookmarkEnd w:id="7"/>
      <w:bookmarkEnd w:id="8"/>
    </w:p>
    <w:p w14:paraId="181DE750" w14:textId="77777777" w:rsidR="00B635C0" w:rsidRPr="00553B0F" w:rsidRDefault="00B635C0" w:rsidP="00B635C0">
      <w:pPr>
        <w:pStyle w:val="SingleTxt"/>
        <w:spacing w:after="0" w:line="120" w:lineRule="atLeast"/>
        <w:ind w:hanging="1267"/>
        <w:rPr>
          <w:sz w:val="10"/>
        </w:rPr>
      </w:pPr>
    </w:p>
    <w:p w14:paraId="4E3FA7C0" w14:textId="77777777" w:rsidR="00B635C0" w:rsidRPr="00553B0F" w:rsidRDefault="00B635C0" w:rsidP="00B635C0">
      <w:pPr>
        <w:pStyle w:val="SingleTxt"/>
        <w:spacing w:after="0" w:line="120" w:lineRule="atLeast"/>
        <w:ind w:hanging="1267"/>
        <w:rPr>
          <w:sz w:val="10"/>
        </w:rPr>
      </w:pPr>
    </w:p>
    <w:p w14:paraId="7B1359B9" w14:textId="77777777" w:rsidR="00B635C0" w:rsidRPr="00553B0F" w:rsidRDefault="00B635C0" w:rsidP="00B635C0">
      <w:pPr>
        <w:pStyle w:val="H1"/>
        <w:ind w:left="1267" w:right="1260" w:hanging="1267"/>
      </w:pPr>
      <w:r w:rsidRPr="00553B0F">
        <w:tab/>
      </w:r>
      <w:r w:rsidRPr="00553B0F">
        <w:tab/>
        <w:t>Preamble</w:t>
      </w:r>
    </w:p>
    <w:p w14:paraId="3065FA68" w14:textId="77777777" w:rsidR="00B635C0" w:rsidRPr="00553B0F" w:rsidRDefault="00B635C0" w:rsidP="00B635C0">
      <w:pPr>
        <w:pStyle w:val="SingleTxt"/>
        <w:spacing w:after="0" w:line="120" w:lineRule="atLeast"/>
        <w:ind w:hanging="1267"/>
        <w:rPr>
          <w:sz w:val="10"/>
        </w:rPr>
      </w:pPr>
    </w:p>
    <w:p w14:paraId="53442658" w14:textId="77777777" w:rsidR="00B635C0" w:rsidRPr="00553B0F" w:rsidRDefault="00B635C0" w:rsidP="00B635C0">
      <w:pPr>
        <w:pStyle w:val="SingleTxt"/>
        <w:spacing w:after="0" w:line="120" w:lineRule="atLeast"/>
        <w:ind w:hanging="1267"/>
        <w:rPr>
          <w:sz w:val="10"/>
        </w:rPr>
      </w:pPr>
    </w:p>
    <w:p w14:paraId="787FF181" w14:textId="77777777" w:rsidR="00B635C0" w:rsidRPr="00553B0F" w:rsidRDefault="00B635C0" w:rsidP="00B635C0">
      <w:pPr>
        <w:pStyle w:val="SingleTxt"/>
        <w:ind w:left="1267" w:right="1267" w:hanging="1267"/>
      </w:pPr>
      <w:bookmarkStart w:id="9" w:name="_Hlk529369698"/>
      <w:r>
        <w:rPr>
          <w:spacing w:val="0"/>
          <w:w w:val="100"/>
        </w:rPr>
        <w:tab/>
      </w:r>
      <w:r w:rsidRPr="00553B0F">
        <w:rPr>
          <w:spacing w:val="0"/>
          <w:w w:val="100"/>
        </w:rPr>
        <w:t>1.</w:t>
      </w:r>
      <w:r w:rsidRPr="00553B0F">
        <w:rPr>
          <w:spacing w:val="0"/>
          <w:w w:val="100"/>
        </w:rPr>
        <w:tab/>
      </w:r>
      <w:r w:rsidRPr="00553B0F">
        <w:t>Pursuant to article 4, paragraph 1,</w:t>
      </w:r>
      <w:r w:rsidRPr="00553B0F">
        <w:rPr>
          <w:vertAlign w:val="superscript"/>
        </w:rPr>
        <w:footnoteReference w:id="12"/>
      </w:r>
      <w:r w:rsidRPr="00553B0F">
        <w:t xml:space="preserve"> and article 32, paragraphs 3 and 4, of the United Nations Convention against Transnational Organized Crime, together with articles 2 and 37 of the Convention and common article 1 of each Protocol thereto, and recalling its resolution</w:t>
      </w:r>
      <w:r w:rsidRPr="00E820BE">
        <w:t xml:space="preserve"> 8/2</w:t>
      </w:r>
      <w:r w:rsidRPr="00553B0F">
        <w:t>, the Conference of the Parties to the United Nations Convention against Transnational Organized Crime establishes the following mechanism to review implementation of the Convention and the Protocols thereto (hereinafter referred to as “the Mechanism”).</w:t>
      </w:r>
      <w:bookmarkEnd w:id="9"/>
      <w:r w:rsidRPr="00553B0F">
        <w:t xml:space="preserve"> </w:t>
      </w:r>
    </w:p>
    <w:p w14:paraId="5F60E583" w14:textId="77777777" w:rsidR="00B635C0" w:rsidRPr="00553B0F" w:rsidRDefault="00B635C0" w:rsidP="00B635C0">
      <w:pPr>
        <w:pStyle w:val="SingleTxt"/>
        <w:spacing w:after="0" w:line="120" w:lineRule="atLeast"/>
        <w:ind w:hanging="1267"/>
        <w:rPr>
          <w:sz w:val="10"/>
        </w:rPr>
      </w:pPr>
    </w:p>
    <w:p w14:paraId="2351B1FA" w14:textId="77777777" w:rsidR="00B635C0" w:rsidRPr="00553B0F" w:rsidRDefault="00B635C0" w:rsidP="00B635C0">
      <w:pPr>
        <w:pStyle w:val="SingleTxt"/>
        <w:spacing w:after="0" w:line="120" w:lineRule="atLeast"/>
        <w:ind w:hanging="1267"/>
        <w:rPr>
          <w:sz w:val="10"/>
        </w:rPr>
      </w:pPr>
    </w:p>
    <w:p w14:paraId="10258011" w14:textId="77777777" w:rsidR="00B635C0" w:rsidRPr="00553B0F" w:rsidRDefault="00B635C0" w:rsidP="00B635C0">
      <w:pPr>
        <w:pStyle w:val="HCh"/>
        <w:ind w:left="1267" w:right="1260" w:hanging="1267"/>
      </w:pPr>
      <w:r w:rsidRPr="00553B0F">
        <w:tab/>
        <w:t>I.</w:t>
      </w:r>
      <w:r w:rsidRPr="00553B0F">
        <w:tab/>
        <w:t>Introduction</w:t>
      </w:r>
    </w:p>
    <w:p w14:paraId="09AEC127" w14:textId="77777777" w:rsidR="00B635C0" w:rsidRPr="00553B0F" w:rsidRDefault="00B635C0" w:rsidP="00B635C0">
      <w:pPr>
        <w:pStyle w:val="SingleTxt"/>
        <w:spacing w:after="0" w:line="120" w:lineRule="atLeast"/>
        <w:ind w:hanging="1267"/>
        <w:rPr>
          <w:sz w:val="10"/>
        </w:rPr>
      </w:pPr>
    </w:p>
    <w:p w14:paraId="1034B8C2" w14:textId="77777777" w:rsidR="00B635C0" w:rsidRPr="00553B0F" w:rsidRDefault="00B635C0" w:rsidP="00B635C0">
      <w:pPr>
        <w:pStyle w:val="SingleTxt"/>
        <w:spacing w:after="0" w:line="120" w:lineRule="atLeast"/>
        <w:ind w:hanging="1267"/>
        <w:rPr>
          <w:sz w:val="10"/>
        </w:rPr>
      </w:pPr>
    </w:p>
    <w:p w14:paraId="51A097CF" w14:textId="77777777" w:rsidR="00B635C0" w:rsidRPr="00553B0F" w:rsidRDefault="00B635C0" w:rsidP="00B635C0">
      <w:pPr>
        <w:pStyle w:val="SingleTxt"/>
        <w:ind w:left="1267" w:right="1267" w:hanging="1267"/>
      </w:pPr>
      <w:r>
        <w:rPr>
          <w:spacing w:val="0"/>
          <w:w w:val="100"/>
        </w:rPr>
        <w:tab/>
      </w:r>
      <w:r w:rsidRPr="00553B0F">
        <w:rPr>
          <w:spacing w:val="0"/>
          <w:w w:val="100"/>
        </w:rPr>
        <w:t>2.</w:t>
      </w:r>
      <w:r w:rsidRPr="00553B0F">
        <w:rPr>
          <w:spacing w:val="0"/>
          <w:w w:val="100"/>
        </w:rPr>
        <w:tab/>
      </w:r>
      <w:r w:rsidRPr="00553B0F">
        <w:t xml:space="preserve">The Mechanism for the Review of the Implementation of the United Nations Convention against Transnational Organized Crime and the Protocols thereto embodies a review process for the Convention and the Protocols thereto that shall be guided by the principles and characteristics contained in section II below and be carried out in accordance with the provisions contained in section V. The Mechanism shall be facilitated by a secretariat as set out in section VI. </w:t>
      </w:r>
    </w:p>
    <w:p w14:paraId="18ECB5EB" w14:textId="77777777" w:rsidR="00B635C0" w:rsidRPr="00553B0F" w:rsidRDefault="00B635C0" w:rsidP="00B635C0">
      <w:pPr>
        <w:pStyle w:val="SingleTxt"/>
        <w:ind w:left="1267" w:right="1267" w:hanging="1267"/>
      </w:pPr>
      <w:r>
        <w:rPr>
          <w:spacing w:val="0"/>
          <w:w w:val="100"/>
        </w:rPr>
        <w:tab/>
      </w:r>
      <w:r w:rsidRPr="00553B0F">
        <w:rPr>
          <w:spacing w:val="0"/>
          <w:w w:val="100"/>
        </w:rPr>
        <w:t>3.</w:t>
      </w:r>
      <w:r w:rsidRPr="00553B0F">
        <w:rPr>
          <w:spacing w:val="0"/>
          <w:w w:val="100"/>
        </w:rPr>
        <w:tab/>
      </w:r>
      <w:r w:rsidRPr="00553B0F">
        <w:t xml:space="preserve">The </w:t>
      </w:r>
      <w:r>
        <w:t>p</w:t>
      </w:r>
      <w:r w:rsidRPr="00553B0F">
        <w:t xml:space="preserve">rocedures and </w:t>
      </w:r>
      <w:r>
        <w:t>r</w:t>
      </w:r>
      <w:r w:rsidRPr="00553B0F">
        <w:t xml:space="preserve">ules are tailored to address the unique aspects of the United Nations Convention against Transnational Organized Crime and the Protocols thereto and are without prejudice to the procedures and rules of any other United Nations instrument. </w:t>
      </w:r>
    </w:p>
    <w:p w14:paraId="4C0BCA6B" w14:textId="77777777" w:rsidR="00B635C0" w:rsidRPr="00553B0F" w:rsidRDefault="00B635C0" w:rsidP="00B635C0">
      <w:pPr>
        <w:pStyle w:val="SingleTxt"/>
        <w:spacing w:after="0" w:line="120" w:lineRule="atLeast"/>
        <w:ind w:hanging="1267"/>
        <w:rPr>
          <w:sz w:val="10"/>
        </w:rPr>
      </w:pPr>
    </w:p>
    <w:p w14:paraId="7B6140BC" w14:textId="77777777" w:rsidR="00B635C0" w:rsidRPr="00553B0F" w:rsidRDefault="00B635C0" w:rsidP="00B635C0">
      <w:pPr>
        <w:pStyle w:val="SingleTxt"/>
        <w:spacing w:after="0" w:line="120" w:lineRule="atLeast"/>
        <w:ind w:hanging="1267"/>
        <w:rPr>
          <w:sz w:val="10"/>
        </w:rPr>
      </w:pPr>
    </w:p>
    <w:p w14:paraId="5CFD72A4" w14:textId="77777777" w:rsidR="00B635C0" w:rsidRPr="00553B0F" w:rsidRDefault="00B635C0" w:rsidP="00B635C0">
      <w:pPr>
        <w:pStyle w:val="HCh"/>
        <w:ind w:left="1267" w:right="1260" w:hanging="1267"/>
      </w:pPr>
      <w:r w:rsidRPr="00553B0F">
        <w:tab/>
        <w:t>II.</w:t>
      </w:r>
      <w:r w:rsidRPr="00553B0F">
        <w:tab/>
        <w:t>Guiding principles and characteristics of the Mechanism</w:t>
      </w:r>
    </w:p>
    <w:p w14:paraId="0223F1A5" w14:textId="77777777" w:rsidR="00B635C0" w:rsidRPr="00553B0F" w:rsidRDefault="00B635C0" w:rsidP="00B635C0">
      <w:pPr>
        <w:pStyle w:val="SingleTxt"/>
        <w:spacing w:after="0" w:line="120" w:lineRule="atLeast"/>
        <w:ind w:hanging="1267"/>
        <w:rPr>
          <w:sz w:val="10"/>
        </w:rPr>
      </w:pPr>
    </w:p>
    <w:p w14:paraId="37FA0848" w14:textId="77777777" w:rsidR="00B635C0" w:rsidRPr="00553B0F" w:rsidRDefault="00B635C0" w:rsidP="00B635C0">
      <w:pPr>
        <w:pStyle w:val="SingleTxt"/>
        <w:spacing w:after="0" w:line="120" w:lineRule="atLeast"/>
        <w:ind w:hanging="1267"/>
        <w:rPr>
          <w:sz w:val="10"/>
        </w:rPr>
      </w:pPr>
    </w:p>
    <w:p w14:paraId="0E1C74A0" w14:textId="77777777" w:rsidR="00B635C0" w:rsidRPr="00553B0F" w:rsidRDefault="00B635C0" w:rsidP="00B635C0">
      <w:pPr>
        <w:pStyle w:val="SingleTxt"/>
        <w:ind w:left="1267" w:right="1267" w:hanging="1267"/>
      </w:pPr>
      <w:r>
        <w:rPr>
          <w:spacing w:val="0"/>
          <w:w w:val="100"/>
        </w:rPr>
        <w:tab/>
      </w:r>
      <w:r w:rsidRPr="00553B0F">
        <w:rPr>
          <w:spacing w:val="0"/>
          <w:w w:val="100"/>
        </w:rPr>
        <w:t>4.</w:t>
      </w:r>
      <w:r w:rsidRPr="00553B0F">
        <w:rPr>
          <w:spacing w:val="0"/>
          <w:w w:val="100"/>
        </w:rPr>
        <w:tab/>
      </w:r>
      <w:r w:rsidRPr="00553B0F">
        <w:t>The Mechanism shall:</w:t>
      </w:r>
    </w:p>
    <w:p w14:paraId="74B2C6A9" w14:textId="77777777" w:rsidR="00B635C0" w:rsidRPr="00553B0F" w:rsidRDefault="00B635C0" w:rsidP="00B635C0">
      <w:pPr>
        <w:pStyle w:val="SingleTxt"/>
        <w:ind w:hanging="1267"/>
      </w:pPr>
      <w:r w:rsidRPr="00553B0F">
        <w:tab/>
      </w:r>
      <w:r w:rsidRPr="00553B0F">
        <w:tab/>
        <w:t>(a)</w:t>
      </w:r>
      <w:r w:rsidRPr="00553B0F">
        <w:tab/>
        <w:t>Be transparent, efficient, non-intrusive, inclusive and impartial;</w:t>
      </w:r>
    </w:p>
    <w:p w14:paraId="097C2581" w14:textId="77777777" w:rsidR="00B635C0" w:rsidRPr="00553B0F" w:rsidRDefault="00B635C0" w:rsidP="00B635C0">
      <w:pPr>
        <w:pStyle w:val="SingleTxt"/>
        <w:ind w:hanging="1267"/>
      </w:pPr>
      <w:r w:rsidRPr="00553B0F">
        <w:tab/>
      </w:r>
      <w:r w:rsidRPr="00553B0F">
        <w:tab/>
        <w:t>(b)</w:t>
      </w:r>
      <w:r w:rsidRPr="00553B0F">
        <w:tab/>
        <w:t>Not produce any form of ranking;</w:t>
      </w:r>
    </w:p>
    <w:p w14:paraId="7AB76CBF" w14:textId="77777777" w:rsidR="00B635C0" w:rsidRPr="00553B0F" w:rsidRDefault="00B635C0" w:rsidP="00B635C0">
      <w:pPr>
        <w:pStyle w:val="SingleTxt"/>
        <w:ind w:hanging="1267"/>
      </w:pPr>
      <w:r w:rsidRPr="00553B0F">
        <w:tab/>
      </w:r>
      <w:r w:rsidRPr="00553B0F">
        <w:tab/>
        <w:t>(c)</w:t>
      </w:r>
      <w:r w:rsidRPr="00553B0F">
        <w:tab/>
        <w:t>Provide opportunities to share good practices and challenges;</w:t>
      </w:r>
    </w:p>
    <w:p w14:paraId="69D3E600" w14:textId="77777777" w:rsidR="00B635C0" w:rsidRPr="00553B0F" w:rsidRDefault="00B635C0" w:rsidP="00B635C0">
      <w:pPr>
        <w:pStyle w:val="SingleTxt"/>
        <w:ind w:hanging="1267"/>
      </w:pPr>
      <w:r w:rsidRPr="00553B0F">
        <w:tab/>
      </w:r>
      <w:r w:rsidRPr="00553B0F">
        <w:tab/>
        <w:t>(d)</w:t>
      </w:r>
      <w:r w:rsidRPr="00553B0F">
        <w:tab/>
        <w:t>Assist States parties in the effective implementation of the Convention and, where applicable, the Protocols thereto;</w:t>
      </w:r>
    </w:p>
    <w:p w14:paraId="012B8FB4" w14:textId="77777777" w:rsidR="00B635C0" w:rsidRPr="00553B0F" w:rsidRDefault="00B635C0" w:rsidP="00B635C0">
      <w:pPr>
        <w:pStyle w:val="SingleTxt"/>
        <w:ind w:hanging="1267"/>
      </w:pPr>
      <w:r w:rsidRPr="00553B0F">
        <w:tab/>
      </w:r>
      <w:r w:rsidRPr="00553B0F">
        <w:tab/>
        <w:t>(e)</w:t>
      </w:r>
      <w:r w:rsidRPr="00553B0F">
        <w:tab/>
        <w:t>Take into account a balanced geographical approach;</w:t>
      </w:r>
    </w:p>
    <w:p w14:paraId="7F34AFF9" w14:textId="77777777" w:rsidR="00B635C0" w:rsidRPr="00553B0F" w:rsidRDefault="00B635C0" w:rsidP="00B635C0">
      <w:pPr>
        <w:pStyle w:val="SingleTxt"/>
        <w:ind w:hanging="1267"/>
      </w:pPr>
      <w:r w:rsidRPr="00553B0F">
        <w:tab/>
      </w:r>
      <w:r w:rsidRPr="00553B0F">
        <w:tab/>
        <w:t>(f)</w:t>
      </w:r>
      <w:r w:rsidRPr="00553B0F">
        <w:tab/>
        <w:t>Be non-adversarial and non-punitive and promote universal adherence to the Convention and its Protocols;</w:t>
      </w:r>
    </w:p>
    <w:p w14:paraId="234FDD85" w14:textId="77777777" w:rsidR="00B635C0" w:rsidRPr="00553B0F" w:rsidRDefault="00B635C0" w:rsidP="00B635C0">
      <w:pPr>
        <w:pStyle w:val="SingleTxt"/>
        <w:ind w:hanging="1267"/>
      </w:pPr>
      <w:r w:rsidRPr="00553B0F">
        <w:tab/>
      </w:r>
      <w:r w:rsidRPr="00553B0F">
        <w:tab/>
        <w:t>(g)</w:t>
      </w:r>
      <w:r w:rsidRPr="00553B0F">
        <w:tab/>
        <w:t>Base its work on clear, established guidelines for the compilation, production and dissemination of information, including addressing issues of confidentiality and the submission of the outcome to the Conference, which is the competent body to take action on such outcome;</w:t>
      </w:r>
    </w:p>
    <w:p w14:paraId="49F1F249" w14:textId="77777777" w:rsidR="00B635C0" w:rsidRPr="00553B0F" w:rsidRDefault="00B635C0" w:rsidP="00B635C0">
      <w:pPr>
        <w:pStyle w:val="SingleTxt"/>
        <w:ind w:hanging="1267"/>
      </w:pPr>
      <w:r w:rsidRPr="00553B0F">
        <w:tab/>
      </w:r>
      <w:r w:rsidRPr="00553B0F">
        <w:tab/>
        <w:t>(h)</w:t>
      </w:r>
      <w:r w:rsidRPr="00553B0F">
        <w:tab/>
        <w:t>Identify, at the earliest possible stage, difficulties encountered by States parties in the fulfilment of their obligations under the Convention and its Protocols, as applicable, and good practices adopted in efforts by States parties to implement the Convention and, where applicable, the Protocols thereto;</w:t>
      </w:r>
    </w:p>
    <w:p w14:paraId="61E8B27C" w14:textId="77777777" w:rsidR="00B635C0" w:rsidRPr="00553B0F" w:rsidRDefault="00B635C0" w:rsidP="00B635C0">
      <w:pPr>
        <w:pStyle w:val="SingleTxt"/>
        <w:ind w:hanging="1267"/>
      </w:pPr>
      <w:r w:rsidRPr="00553B0F">
        <w:tab/>
      </w:r>
      <w:r w:rsidRPr="00553B0F">
        <w:tab/>
        <w:t>(</w:t>
      </w:r>
      <w:proofErr w:type="spellStart"/>
      <w:r w:rsidRPr="00553B0F">
        <w:t>i</w:t>
      </w:r>
      <w:proofErr w:type="spellEnd"/>
      <w:r w:rsidRPr="00553B0F">
        <w:t>)</w:t>
      </w:r>
      <w:r w:rsidRPr="00553B0F">
        <w:tab/>
        <w:t>Be of a technical nature and promote constructive collaboration, inter alia, on issues concerning international cooperation, prevention, protection of witnesses and assistance and protection for victims;</w:t>
      </w:r>
    </w:p>
    <w:p w14:paraId="37142254" w14:textId="77777777" w:rsidR="00B635C0" w:rsidRPr="00553B0F" w:rsidRDefault="00B635C0" w:rsidP="00B635C0">
      <w:pPr>
        <w:pStyle w:val="SingleTxt"/>
        <w:ind w:hanging="1267"/>
      </w:pPr>
      <w:r w:rsidRPr="00553B0F">
        <w:tab/>
      </w:r>
      <w:r w:rsidRPr="00553B0F">
        <w:tab/>
        <w:t>(j)</w:t>
      </w:r>
      <w:r w:rsidRPr="00553B0F">
        <w:tab/>
        <w:t>Complement existing relevant international and regional review mechanisms so that the Conference may, as appropriate, cooperate with those mechanisms and avoid duplication of efforts;</w:t>
      </w:r>
    </w:p>
    <w:p w14:paraId="1A75BDD8" w14:textId="77777777" w:rsidR="00B635C0" w:rsidRPr="00553B0F" w:rsidRDefault="00B635C0" w:rsidP="00B635C0">
      <w:pPr>
        <w:pStyle w:val="SingleTxt"/>
        <w:ind w:hanging="1267"/>
      </w:pPr>
      <w:r w:rsidRPr="00553B0F">
        <w:tab/>
      </w:r>
      <w:r w:rsidRPr="00553B0F">
        <w:tab/>
        <w:t>(k)</w:t>
      </w:r>
      <w:r w:rsidRPr="00553B0F">
        <w:tab/>
        <w:t>Be an intergovernmental process;</w:t>
      </w:r>
    </w:p>
    <w:p w14:paraId="3200CC54" w14:textId="77777777" w:rsidR="00B635C0" w:rsidRPr="00553B0F" w:rsidRDefault="00B635C0" w:rsidP="00B635C0">
      <w:pPr>
        <w:pStyle w:val="SingleTxt"/>
        <w:ind w:hanging="1267"/>
      </w:pPr>
      <w:r w:rsidRPr="00553B0F">
        <w:tab/>
      </w:r>
      <w:r w:rsidRPr="00553B0F">
        <w:tab/>
        <w:t>(l)</w:t>
      </w:r>
      <w:r w:rsidRPr="00553B0F">
        <w:tab/>
        <w:t>Be conducted in conformity with article 4 of the Convention, not serve as an instrument for interfering in the domestic affairs of States parties and be conducted in a non-political and non-selective manner and respect the principle of equality and sovereignty of States parties;</w:t>
      </w:r>
    </w:p>
    <w:p w14:paraId="63AB8995" w14:textId="77777777" w:rsidR="00B635C0" w:rsidRPr="00553B0F" w:rsidRDefault="00B635C0" w:rsidP="00B635C0">
      <w:pPr>
        <w:pStyle w:val="SingleTxt"/>
        <w:ind w:hanging="1267"/>
      </w:pPr>
      <w:r w:rsidRPr="00553B0F">
        <w:tab/>
      </w:r>
      <w:r w:rsidRPr="00553B0F">
        <w:tab/>
        <w:t>(m)</w:t>
      </w:r>
      <w:r w:rsidRPr="00553B0F">
        <w:tab/>
        <w:t>Promote the implementation of the Convention and its Protocols by States parties, as applicable, as well as cooperation among States parties;</w:t>
      </w:r>
    </w:p>
    <w:p w14:paraId="46C9F584" w14:textId="77777777" w:rsidR="00B635C0" w:rsidRPr="00553B0F" w:rsidRDefault="00B635C0" w:rsidP="00B635C0">
      <w:pPr>
        <w:pStyle w:val="SingleTxt"/>
        <w:ind w:hanging="1267"/>
      </w:pPr>
      <w:r w:rsidRPr="00553B0F">
        <w:tab/>
      </w:r>
      <w:r w:rsidRPr="00553B0F">
        <w:tab/>
        <w:t>(n)</w:t>
      </w:r>
      <w:r w:rsidRPr="00553B0F">
        <w:tab/>
        <w:t>Provide opportunities to exchange views, ideas and good practices, thus contributing to strengthening cooperation among States parties in preventing and fighting transnational organized crime;</w:t>
      </w:r>
    </w:p>
    <w:p w14:paraId="4CDCA15E" w14:textId="77777777" w:rsidR="00B635C0" w:rsidRPr="00553B0F" w:rsidRDefault="00B635C0" w:rsidP="00B635C0">
      <w:pPr>
        <w:pStyle w:val="SingleTxt"/>
        <w:ind w:hanging="1267"/>
      </w:pPr>
      <w:r w:rsidRPr="00553B0F">
        <w:tab/>
      </w:r>
      <w:r w:rsidRPr="00553B0F">
        <w:tab/>
        <w:t>(o)</w:t>
      </w:r>
      <w:r w:rsidRPr="00553B0F">
        <w:tab/>
        <w:t>Take into account the levels of development of States parties, as well as the diversity of judicial, legal, political, economic and social systems and differences in legal traditions;</w:t>
      </w:r>
    </w:p>
    <w:p w14:paraId="472779E0" w14:textId="77777777" w:rsidR="00B635C0" w:rsidRPr="00553B0F" w:rsidRDefault="00B635C0" w:rsidP="00B635C0">
      <w:pPr>
        <w:pStyle w:val="SingleTxt"/>
        <w:ind w:hanging="1267"/>
      </w:pPr>
      <w:r w:rsidRPr="00553B0F">
        <w:tab/>
      </w:r>
      <w:r w:rsidRPr="00553B0F">
        <w:tab/>
        <w:t>(p)</w:t>
      </w:r>
      <w:r w:rsidRPr="00553B0F">
        <w:tab/>
        <w:t xml:space="preserve">Endeavour to adopt a progressive and comprehensive approach, given that the review of implementation of the Convention is an ongoing and gradual process. </w:t>
      </w:r>
    </w:p>
    <w:p w14:paraId="507B6156" w14:textId="77777777" w:rsidR="00B635C0" w:rsidRPr="00553B0F" w:rsidRDefault="00B635C0" w:rsidP="00B635C0">
      <w:pPr>
        <w:pStyle w:val="SingleTxt"/>
        <w:spacing w:after="0" w:line="120" w:lineRule="atLeast"/>
        <w:ind w:hanging="1267"/>
        <w:rPr>
          <w:sz w:val="10"/>
        </w:rPr>
      </w:pPr>
    </w:p>
    <w:p w14:paraId="28520DB7" w14:textId="77777777" w:rsidR="00B635C0" w:rsidRPr="00553B0F" w:rsidRDefault="00B635C0" w:rsidP="00B635C0">
      <w:pPr>
        <w:pStyle w:val="SingleTxt"/>
        <w:spacing w:after="0" w:line="120" w:lineRule="atLeast"/>
        <w:ind w:hanging="1267"/>
        <w:rPr>
          <w:sz w:val="10"/>
        </w:rPr>
      </w:pPr>
    </w:p>
    <w:p w14:paraId="6EE4E76A" w14:textId="77777777" w:rsidR="00B635C0" w:rsidRPr="00553B0F" w:rsidRDefault="00B635C0" w:rsidP="00B635C0">
      <w:pPr>
        <w:pStyle w:val="HCh"/>
        <w:ind w:left="1267" w:right="1260" w:hanging="1267"/>
      </w:pPr>
      <w:r w:rsidRPr="00553B0F">
        <w:tab/>
        <w:t>III.</w:t>
      </w:r>
      <w:r w:rsidRPr="00553B0F">
        <w:tab/>
        <w:t>Efficiency of the Mechanism</w:t>
      </w:r>
    </w:p>
    <w:p w14:paraId="5E8EC7B7" w14:textId="77777777" w:rsidR="00B635C0" w:rsidRPr="00553B0F" w:rsidRDefault="00B635C0" w:rsidP="00B635C0">
      <w:pPr>
        <w:pStyle w:val="SingleTxt"/>
        <w:spacing w:after="0" w:line="120" w:lineRule="atLeast"/>
        <w:ind w:hanging="1267"/>
        <w:rPr>
          <w:sz w:val="10"/>
        </w:rPr>
      </w:pPr>
    </w:p>
    <w:p w14:paraId="26909B36" w14:textId="77777777" w:rsidR="00B635C0" w:rsidRPr="00553B0F" w:rsidRDefault="00B635C0" w:rsidP="00B635C0">
      <w:pPr>
        <w:pStyle w:val="SingleTxt"/>
        <w:spacing w:after="0" w:line="120" w:lineRule="atLeast"/>
        <w:ind w:hanging="1267"/>
        <w:rPr>
          <w:sz w:val="10"/>
        </w:rPr>
      </w:pPr>
    </w:p>
    <w:p w14:paraId="149F3765" w14:textId="77777777" w:rsidR="00B635C0" w:rsidRPr="00553B0F" w:rsidRDefault="00B635C0" w:rsidP="00B635C0">
      <w:pPr>
        <w:pStyle w:val="SingleTxt"/>
        <w:ind w:left="1267" w:right="1267" w:hanging="1267"/>
      </w:pPr>
      <w:r>
        <w:rPr>
          <w:spacing w:val="0"/>
          <w:w w:val="100"/>
        </w:rPr>
        <w:tab/>
      </w:r>
      <w:r w:rsidRPr="00553B0F">
        <w:rPr>
          <w:spacing w:val="0"/>
          <w:w w:val="100"/>
        </w:rPr>
        <w:t>5.</w:t>
      </w:r>
      <w:r w:rsidRPr="00553B0F">
        <w:rPr>
          <w:spacing w:val="0"/>
          <w:w w:val="100"/>
        </w:rPr>
        <w:tab/>
      </w:r>
      <w:r w:rsidRPr="00553B0F">
        <w:t xml:space="preserve">The Mechanism shall be cost-effective, concise and user-friendly and make optimal and efficient use of existing information, tools, resources and technology so that it does not impose undue burdens upon States parties, their central authorities, other relevant authorities and experts involved in the review process. </w:t>
      </w:r>
    </w:p>
    <w:p w14:paraId="3B1CC9D3" w14:textId="77777777" w:rsidR="00B635C0" w:rsidRPr="00553B0F" w:rsidRDefault="00B635C0" w:rsidP="00B635C0">
      <w:pPr>
        <w:pStyle w:val="SingleTxt"/>
        <w:spacing w:after="0" w:line="120" w:lineRule="atLeast"/>
        <w:ind w:hanging="1267"/>
        <w:rPr>
          <w:sz w:val="10"/>
        </w:rPr>
      </w:pPr>
    </w:p>
    <w:p w14:paraId="5A777CF7" w14:textId="77777777" w:rsidR="00B635C0" w:rsidRPr="00553B0F" w:rsidRDefault="00B635C0" w:rsidP="00B635C0">
      <w:pPr>
        <w:pStyle w:val="SingleTxt"/>
        <w:spacing w:after="0" w:line="120" w:lineRule="atLeast"/>
        <w:ind w:hanging="1267"/>
        <w:rPr>
          <w:sz w:val="10"/>
        </w:rPr>
      </w:pPr>
    </w:p>
    <w:p w14:paraId="3501FD5A" w14:textId="77777777" w:rsidR="00B635C0" w:rsidRPr="00553B0F" w:rsidRDefault="00B635C0" w:rsidP="00B635C0">
      <w:pPr>
        <w:pStyle w:val="HCh"/>
        <w:ind w:left="1267" w:right="1260" w:hanging="1267"/>
      </w:pPr>
      <w:r w:rsidRPr="00553B0F">
        <w:tab/>
        <w:t>IV.</w:t>
      </w:r>
      <w:r w:rsidRPr="00553B0F">
        <w:tab/>
        <w:t>Relationship of the Mechanism with the Conference of the Parties</w:t>
      </w:r>
    </w:p>
    <w:p w14:paraId="28613592" w14:textId="77777777" w:rsidR="00B635C0" w:rsidRPr="00553B0F" w:rsidRDefault="00B635C0" w:rsidP="00B635C0">
      <w:pPr>
        <w:pStyle w:val="SingleTxt"/>
        <w:spacing w:after="0" w:line="120" w:lineRule="atLeast"/>
        <w:ind w:hanging="1267"/>
        <w:rPr>
          <w:sz w:val="10"/>
        </w:rPr>
      </w:pPr>
    </w:p>
    <w:p w14:paraId="3450EDA5" w14:textId="77777777" w:rsidR="00B635C0" w:rsidRPr="00553B0F" w:rsidRDefault="00B635C0" w:rsidP="00B635C0">
      <w:pPr>
        <w:pStyle w:val="SingleTxt"/>
        <w:spacing w:after="0" w:line="120" w:lineRule="atLeast"/>
        <w:ind w:hanging="1267"/>
        <w:rPr>
          <w:sz w:val="10"/>
        </w:rPr>
      </w:pPr>
    </w:p>
    <w:p w14:paraId="1FB990FC" w14:textId="77777777" w:rsidR="00B635C0" w:rsidRPr="00553B0F" w:rsidRDefault="00B635C0" w:rsidP="00B635C0">
      <w:pPr>
        <w:pStyle w:val="SingleTxt"/>
        <w:ind w:left="1267" w:right="1267" w:hanging="1267"/>
      </w:pPr>
      <w:r>
        <w:rPr>
          <w:spacing w:val="0"/>
          <w:w w:val="100"/>
        </w:rPr>
        <w:tab/>
      </w:r>
      <w:r w:rsidRPr="00553B0F">
        <w:rPr>
          <w:spacing w:val="0"/>
          <w:w w:val="100"/>
        </w:rPr>
        <w:t>6.</w:t>
      </w:r>
      <w:r w:rsidRPr="00553B0F">
        <w:rPr>
          <w:spacing w:val="0"/>
          <w:w w:val="100"/>
        </w:rPr>
        <w:tab/>
      </w:r>
      <w:r w:rsidRPr="00553B0F">
        <w:t xml:space="preserve">The review of implementation of the Convention and the Protocols thereto and the Mechanism shall be under the authority of the Conference, in accordance with article 32 of the Convention. </w:t>
      </w:r>
    </w:p>
    <w:p w14:paraId="2CFBD64F" w14:textId="77777777" w:rsidR="00B635C0" w:rsidRPr="00553B0F" w:rsidRDefault="00B635C0" w:rsidP="00B635C0">
      <w:pPr>
        <w:pStyle w:val="SingleTxt"/>
        <w:ind w:left="1267" w:right="1267" w:hanging="1267"/>
      </w:pPr>
      <w:r>
        <w:rPr>
          <w:spacing w:val="0"/>
          <w:w w:val="100"/>
        </w:rPr>
        <w:tab/>
      </w:r>
      <w:r w:rsidRPr="00553B0F">
        <w:rPr>
          <w:spacing w:val="0"/>
          <w:w w:val="100"/>
        </w:rPr>
        <w:t>7.</w:t>
      </w:r>
      <w:r w:rsidRPr="00553B0F">
        <w:rPr>
          <w:spacing w:val="0"/>
          <w:w w:val="100"/>
        </w:rPr>
        <w:tab/>
      </w:r>
      <w:r w:rsidRPr="00553B0F">
        <w:t xml:space="preserve">Without prejudice to the guiding principles and characteristics of the Mechanism contained in section II, the Conference may conduct an evaluation of the organization, functioning, funding, and performance of the review process, so as to amend and improve the existing Mechanism at any time. </w:t>
      </w:r>
    </w:p>
    <w:p w14:paraId="54596878" w14:textId="77777777" w:rsidR="00B635C0" w:rsidRPr="00553B0F" w:rsidRDefault="00B635C0" w:rsidP="00B635C0">
      <w:pPr>
        <w:pStyle w:val="SingleTxt"/>
        <w:spacing w:after="0" w:line="120" w:lineRule="atLeast"/>
        <w:ind w:hanging="1267"/>
        <w:rPr>
          <w:sz w:val="10"/>
        </w:rPr>
      </w:pPr>
    </w:p>
    <w:p w14:paraId="0509A049" w14:textId="77777777" w:rsidR="00B635C0" w:rsidRPr="00553B0F" w:rsidRDefault="00B635C0" w:rsidP="00B635C0">
      <w:pPr>
        <w:pStyle w:val="SingleTxt"/>
        <w:spacing w:after="0" w:line="120" w:lineRule="atLeast"/>
        <w:ind w:hanging="1267"/>
        <w:rPr>
          <w:sz w:val="10"/>
        </w:rPr>
      </w:pPr>
    </w:p>
    <w:p w14:paraId="5D56B815" w14:textId="77777777" w:rsidR="00B635C0" w:rsidRPr="00553B0F" w:rsidRDefault="00B635C0" w:rsidP="00B635C0">
      <w:pPr>
        <w:pStyle w:val="HCh"/>
        <w:ind w:left="1267" w:right="1260" w:hanging="1267"/>
      </w:pPr>
      <w:r w:rsidRPr="00553B0F">
        <w:tab/>
        <w:t>V.</w:t>
      </w:r>
      <w:r w:rsidRPr="00553B0F">
        <w:tab/>
        <w:t>Review process</w:t>
      </w:r>
    </w:p>
    <w:p w14:paraId="62E0D3DF" w14:textId="77777777" w:rsidR="00B635C0" w:rsidRPr="00553B0F" w:rsidRDefault="00B635C0" w:rsidP="00B635C0">
      <w:pPr>
        <w:pStyle w:val="SingleTxt"/>
        <w:spacing w:after="0" w:line="120" w:lineRule="atLeast"/>
        <w:ind w:hanging="1267"/>
        <w:rPr>
          <w:sz w:val="10"/>
        </w:rPr>
      </w:pPr>
    </w:p>
    <w:p w14:paraId="662CEE79" w14:textId="77777777" w:rsidR="00B635C0" w:rsidRPr="00553B0F" w:rsidRDefault="00B635C0" w:rsidP="00B635C0">
      <w:pPr>
        <w:pStyle w:val="SingleTxt"/>
        <w:spacing w:after="0" w:line="120" w:lineRule="atLeast"/>
        <w:ind w:hanging="1267"/>
        <w:rPr>
          <w:sz w:val="10"/>
        </w:rPr>
      </w:pPr>
    </w:p>
    <w:p w14:paraId="64C57757" w14:textId="77777777" w:rsidR="00B635C0" w:rsidRPr="00553B0F" w:rsidRDefault="00B635C0" w:rsidP="00B635C0">
      <w:pPr>
        <w:pStyle w:val="H1"/>
        <w:ind w:left="1267" w:right="1260" w:hanging="1267"/>
      </w:pPr>
      <w:r w:rsidRPr="00553B0F">
        <w:tab/>
        <w:t>A.</w:t>
      </w:r>
      <w:r w:rsidRPr="00553B0F">
        <w:tab/>
        <w:t>Goals</w:t>
      </w:r>
    </w:p>
    <w:p w14:paraId="06802737" w14:textId="77777777" w:rsidR="00B635C0" w:rsidRPr="00553B0F" w:rsidRDefault="00B635C0" w:rsidP="00B635C0">
      <w:pPr>
        <w:pStyle w:val="SingleTxt"/>
        <w:spacing w:after="0" w:line="120" w:lineRule="atLeast"/>
        <w:ind w:hanging="1267"/>
        <w:rPr>
          <w:sz w:val="10"/>
        </w:rPr>
      </w:pPr>
    </w:p>
    <w:p w14:paraId="7D6D1DF4" w14:textId="77777777" w:rsidR="00B635C0" w:rsidRPr="00553B0F" w:rsidRDefault="00B635C0" w:rsidP="00B635C0">
      <w:pPr>
        <w:pStyle w:val="SingleTxt"/>
        <w:spacing w:after="0" w:line="120" w:lineRule="atLeast"/>
        <w:ind w:hanging="1267"/>
        <w:rPr>
          <w:sz w:val="10"/>
        </w:rPr>
      </w:pPr>
    </w:p>
    <w:p w14:paraId="5E230396" w14:textId="77777777" w:rsidR="00B635C0" w:rsidRPr="00553B0F" w:rsidRDefault="00B635C0" w:rsidP="00B635C0">
      <w:pPr>
        <w:pStyle w:val="SingleTxt"/>
        <w:ind w:left="1267" w:right="1267" w:hanging="1267"/>
      </w:pPr>
      <w:r>
        <w:rPr>
          <w:spacing w:val="0"/>
          <w:w w:val="100"/>
        </w:rPr>
        <w:tab/>
      </w:r>
      <w:r w:rsidRPr="00553B0F">
        <w:rPr>
          <w:spacing w:val="0"/>
          <w:w w:val="100"/>
        </w:rPr>
        <w:t>8.</w:t>
      </w:r>
      <w:r w:rsidRPr="00553B0F">
        <w:rPr>
          <w:spacing w:val="0"/>
          <w:w w:val="100"/>
        </w:rPr>
        <w:tab/>
      </w:r>
      <w:r w:rsidRPr="00553B0F">
        <w:t>Consistent with the Convention, in particular article 32, the review process, inter alia, shall assist the Conference to:</w:t>
      </w:r>
    </w:p>
    <w:p w14:paraId="004D8BB4" w14:textId="77777777" w:rsidR="00B635C0" w:rsidRPr="00553B0F" w:rsidRDefault="00B635C0" w:rsidP="00B635C0">
      <w:pPr>
        <w:pStyle w:val="SingleTxt"/>
        <w:ind w:hanging="1267"/>
      </w:pPr>
      <w:r w:rsidRPr="00553B0F">
        <w:tab/>
      </w:r>
      <w:r w:rsidRPr="00553B0F">
        <w:tab/>
        <w:t>(a)</w:t>
      </w:r>
      <w:r w:rsidRPr="00553B0F">
        <w:tab/>
        <w:t>Promote the purposes of the Convention and the Protocols thereto, as set out in article 1 of the Convention and article 2 of each of the Protocols;</w:t>
      </w:r>
    </w:p>
    <w:p w14:paraId="39F535AF" w14:textId="77777777" w:rsidR="00B635C0" w:rsidRPr="00553B0F" w:rsidRDefault="00B635C0" w:rsidP="00B635C0">
      <w:pPr>
        <w:pStyle w:val="SingleTxt"/>
        <w:ind w:hanging="1267"/>
      </w:pPr>
      <w:r w:rsidRPr="00553B0F">
        <w:tab/>
      </w:r>
      <w:r w:rsidRPr="00553B0F">
        <w:tab/>
        <w:t>(b)</w:t>
      </w:r>
      <w:r w:rsidRPr="00553B0F">
        <w:tab/>
        <w:t>Improve the capacity of States parties to prevent and combat transnational organized crime and to promote and review the implementation of the Convention and the Protocols thereto;</w:t>
      </w:r>
    </w:p>
    <w:p w14:paraId="0F194462" w14:textId="77777777" w:rsidR="00B635C0" w:rsidRPr="00553B0F" w:rsidRDefault="00B635C0" w:rsidP="00B635C0">
      <w:pPr>
        <w:pStyle w:val="SingleTxt"/>
        <w:ind w:hanging="1267"/>
      </w:pPr>
      <w:r w:rsidRPr="00553B0F">
        <w:tab/>
      </w:r>
      <w:r w:rsidRPr="00553B0F">
        <w:tab/>
        <w:t>(c)</w:t>
      </w:r>
      <w:r w:rsidRPr="00553B0F">
        <w:tab/>
        <w:t>Help States parties to identify and substantiate specific needs for technical assistance and to promote and facilitate the provision of technical assistance upon their request;</w:t>
      </w:r>
    </w:p>
    <w:p w14:paraId="5761223E" w14:textId="77777777" w:rsidR="00B635C0" w:rsidRPr="00553B0F" w:rsidRDefault="00B635C0" w:rsidP="00B635C0">
      <w:pPr>
        <w:pStyle w:val="SingleTxt"/>
        <w:ind w:hanging="1267"/>
      </w:pPr>
      <w:r w:rsidRPr="00553B0F">
        <w:tab/>
      </w:r>
      <w:r w:rsidRPr="00553B0F">
        <w:tab/>
        <w:t>(d)</w:t>
      </w:r>
      <w:r w:rsidRPr="00553B0F">
        <w:tab/>
        <w:t>Gather information on national legislation, successes, good practices and challenges of States parties in implementing and using the Convention and the Protocols thereto, and to promote and facilitate the exchange of this information;</w:t>
      </w:r>
    </w:p>
    <w:p w14:paraId="446B78AB" w14:textId="77777777" w:rsidR="00B635C0" w:rsidRPr="00553B0F" w:rsidRDefault="00B635C0" w:rsidP="00B635C0">
      <w:pPr>
        <w:pStyle w:val="SingleTxt"/>
        <w:ind w:hanging="1267"/>
      </w:pPr>
      <w:r w:rsidRPr="00553B0F">
        <w:tab/>
      </w:r>
      <w:r w:rsidRPr="00553B0F">
        <w:tab/>
        <w:t>(e)</w:t>
      </w:r>
      <w:r w:rsidRPr="00553B0F">
        <w:tab/>
        <w:t>Promote international cooperation as stipulated in the Convention and the Protocols thereto;</w:t>
      </w:r>
    </w:p>
    <w:p w14:paraId="6A011149" w14:textId="77777777" w:rsidR="00B635C0" w:rsidRPr="00553B0F" w:rsidRDefault="00B635C0" w:rsidP="00B635C0">
      <w:pPr>
        <w:pStyle w:val="SingleTxt"/>
        <w:ind w:hanging="1267"/>
      </w:pPr>
      <w:r w:rsidRPr="00553B0F">
        <w:tab/>
      </w:r>
      <w:r w:rsidRPr="00553B0F">
        <w:tab/>
        <w:t>(f)</w:t>
      </w:r>
      <w:r w:rsidRPr="00553B0F">
        <w:tab/>
        <w:t xml:space="preserve">Acquire the necessary knowledge of the measures taken by States parties in implementing the Convention and the difficulties encountered by them in doing so through information provided through the gathering process described in section V.C of the present procedures and rules. </w:t>
      </w:r>
    </w:p>
    <w:p w14:paraId="4600FD34" w14:textId="77777777" w:rsidR="00B635C0" w:rsidRPr="00553B0F" w:rsidRDefault="00B635C0" w:rsidP="00B635C0">
      <w:pPr>
        <w:pStyle w:val="SingleTxt"/>
        <w:spacing w:after="0" w:line="120" w:lineRule="atLeast"/>
        <w:ind w:hanging="1267"/>
        <w:rPr>
          <w:sz w:val="10"/>
        </w:rPr>
      </w:pPr>
    </w:p>
    <w:p w14:paraId="2EFE8C02" w14:textId="77777777" w:rsidR="00B635C0" w:rsidRPr="00553B0F" w:rsidRDefault="00B635C0" w:rsidP="00B635C0">
      <w:pPr>
        <w:pStyle w:val="SingleTxt"/>
        <w:spacing w:after="0" w:line="120" w:lineRule="atLeast"/>
        <w:ind w:hanging="1267"/>
        <w:rPr>
          <w:sz w:val="10"/>
        </w:rPr>
      </w:pPr>
    </w:p>
    <w:p w14:paraId="764DF394" w14:textId="77777777" w:rsidR="00B635C0" w:rsidRPr="00553B0F" w:rsidRDefault="00B635C0" w:rsidP="00B635C0">
      <w:pPr>
        <w:pStyle w:val="H1"/>
        <w:ind w:left="1267" w:right="1260" w:hanging="1267"/>
      </w:pPr>
      <w:r w:rsidRPr="00553B0F">
        <w:tab/>
        <w:t>B.</w:t>
      </w:r>
      <w:r w:rsidRPr="00553B0F">
        <w:tab/>
        <w:t>Review process</w:t>
      </w:r>
    </w:p>
    <w:p w14:paraId="27866037" w14:textId="77777777" w:rsidR="00B635C0" w:rsidRPr="00553B0F" w:rsidRDefault="00B635C0" w:rsidP="00B635C0">
      <w:pPr>
        <w:pStyle w:val="SingleTxt"/>
        <w:spacing w:after="0" w:line="120" w:lineRule="atLeast"/>
        <w:ind w:hanging="1267"/>
        <w:rPr>
          <w:sz w:val="10"/>
        </w:rPr>
      </w:pPr>
    </w:p>
    <w:p w14:paraId="6925E3BD" w14:textId="77777777" w:rsidR="00B635C0" w:rsidRPr="00553B0F" w:rsidRDefault="00B635C0" w:rsidP="00B635C0">
      <w:pPr>
        <w:pStyle w:val="SingleTxt"/>
        <w:spacing w:after="0" w:line="120" w:lineRule="atLeast"/>
        <w:ind w:hanging="1267"/>
        <w:rPr>
          <w:sz w:val="10"/>
        </w:rPr>
      </w:pPr>
    </w:p>
    <w:p w14:paraId="6D9EA79E" w14:textId="77777777" w:rsidR="00B635C0" w:rsidRPr="00553B0F" w:rsidRDefault="00B635C0" w:rsidP="00B635C0">
      <w:pPr>
        <w:pStyle w:val="SingleTxt"/>
        <w:ind w:left="1267" w:right="1267" w:hanging="1267"/>
      </w:pPr>
      <w:r>
        <w:rPr>
          <w:spacing w:val="0"/>
          <w:w w:val="100"/>
        </w:rPr>
        <w:tab/>
      </w:r>
      <w:r w:rsidRPr="00553B0F">
        <w:rPr>
          <w:spacing w:val="0"/>
          <w:w w:val="100"/>
        </w:rPr>
        <w:t>9.</w:t>
      </w:r>
      <w:r w:rsidRPr="00553B0F">
        <w:rPr>
          <w:spacing w:val="0"/>
          <w:w w:val="100"/>
        </w:rPr>
        <w:tab/>
      </w:r>
      <w:r w:rsidRPr="00553B0F">
        <w:t xml:space="preserve">The Mechanism shall be applicable to all States parties to the Convention and to each of the Protocols they are parties to. It shall progressively address all the articles of the Convention and the Protocols thereto. It shall be structured on thematic clusters of articles based on their subject matter, as indicated in table 1 contained the appendix. The review shall be a gradual process consisting of one preparatory phase (years 1 and 2) and four subsequent review phases (years 3–12). </w:t>
      </w:r>
    </w:p>
    <w:p w14:paraId="7A91500E" w14:textId="77777777" w:rsidR="00B635C0" w:rsidRPr="00553B0F" w:rsidRDefault="00B635C0" w:rsidP="00B635C0">
      <w:pPr>
        <w:pStyle w:val="SingleTxt"/>
        <w:ind w:left="1267" w:right="1267" w:hanging="1267"/>
      </w:pPr>
      <w:r>
        <w:rPr>
          <w:spacing w:val="0"/>
          <w:w w:val="100"/>
        </w:rPr>
        <w:tab/>
      </w:r>
      <w:r w:rsidRPr="00553B0F">
        <w:rPr>
          <w:spacing w:val="0"/>
          <w:w w:val="100"/>
        </w:rPr>
        <w:t>10.</w:t>
      </w:r>
      <w:r w:rsidRPr="00553B0F">
        <w:rPr>
          <w:spacing w:val="0"/>
          <w:w w:val="100"/>
        </w:rPr>
        <w:tab/>
      </w:r>
      <w:r w:rsidRPr="00553B0F">
        <w:t xml:space="preserve">For each group of States parties as set forth in paragraph 17, the advancement to the next review phase is conditional upon the completion of 70 per cent of the reviews foreseen at the beginning of the previous phase, unless the Conference decides otherwise. </w:t>
      </w:r>
    </w:p>
    <w:p w14:paraId="33B92C70" w14:textId="77777777" w:rsidR="00B635C0" w:rsidRPr="00553B0F" w:rsidRDefault="00B635C0" w:rsidP="00B635C0">
      <w:pPr>
        <w:pStyle w:val="SingleTxt"/>
        <w:ind w:left="1267" w:right="1267" w:hanging="1267"/>
      </w:pPr>
      <w:r>
        <w:rPr>
          <w:spacing w:val="0"/>
          <w:w w:val="100"/>
        </w:rPr>
        <w:tab/>
      </w:r>
      <w:r w:rsidRPr="00553B0F">
        <w:rPr>
          <w:spacing w:val="0"/>
          <w:w w:val="100"/>
        </w:rPr>
        <w:t>11.</w:t>
      </w:r>
      <w:r w:rsidRPr="00553B0F">
        <w:rPr>
          <w:spacing w:val="0"/>
          <w:w w:val="100"/>
        </w:rPr>
        <w:tab/>
      </w:r>
      <w:r w:rsidRPr="00553B0F">
        <w:t>For each group of States parties as set forth in paragraph 17, the implementation of the Convention and the Protocols thereto must be reviewed under the same thematic cluster at the same time.</w:t>
      </w:r>
    </w:p>
    <w:p w14:paraId="61EA8832" w14:textId="77777777" w:rsidR="00B635C0" w:rsidRPr="00553B0F" w:rsidRDefault="00B635C0" w:rsidP="00B635C0">
      <w:pPr>
        <w:pStyle w:val="SingleTxt"/>
        <w:ind w:left="1267" w:right="1267" w:hanging="1267"/>
      </w:pPr>
      <w:r>
        <w:rPr>
          <w:spacing w:val="0"/>
          <w:w w:val="100"/>
        </w:rPr>
        <w:tab/>
      </w:r>
      <w:r w:rsidRPr="00553B0F">
        <w:rPr>
          <w:spacing w:val="0"/>
          <w:w w:val="100"/>
        </w:rPr>
        <w:t>12.</w:t>
      </w:r>
      <w:r w:rsidRPr="00553B0F">
        <w:rPr>
          <w:spacing w:val="0"/>
          <w:w w:val="100"/>
        </w:rPr>
        <w:tab/>
      </w:r>
      <w:r w:rsidRPr="00553B0F">
        <w:t>The review process shall be composed of a general review that will be undertaken in the plenary of the Conference of the Parties, and of country reviews that will be conducted through desk reviews. The Conference and its working groups shall add the matter to their agendas as an item consistent with their areas of expertise and without prejudice to their respective existing mandates. Taking into consideration the progressive nature of the review set forth in paragraph 9, the content of the agendas and scheduling of the meetings of the working groups will be decided by the Conference or the extended Bureau in a timely manner. In order to ensure that the working groups may contribute to the Mechanism while also carrying out their respective existing mandates, each working group should dedicate no more than one agenda item per session to matters pertaining to the functioning of the review process.</w:t>
      </w:r>
    </w:p>
    <w:p w14:paraId="7D77D940" w14:textId="77777777" w:rsidR="00B635C0" w:rsidRPr="00553B0F" w:rsidRDefault="00B635C0" w:rsidP="00B635C0">
      <w:pPr>
        <w:pStyle w:val="SingleTxt"/>
        <w:ind w:left="1267" w:right="1267" w:hanging="1267"/>
      </w:pPr>
      <w:r>
        <w:rPr>
          <w:spacing w:val="0"/>
          <w:w w:val="100"/>
        </w:rPr>
        <w:tab/>
      </w:r>
      <w:r w:rsidRPr="00553B0F">
        <w:rPr>
          <w:spacing w:val="0"/>
          <w:w w:val="100"/>
        </w:rPr>
        <w:t>13.</w:t>
      </w:r>
      <w:r w:rsidRPr="00553B0F">
        <w:rPr>
          <w:spacing w:val="0"/>
          <w:w w:val="100"/>
        </w:rPr>
        <w:tab/>
      </w:r>
      <w:r w:rsidRPr="00553B0F">
        <w:t xml:space="preserve">Country reviews will identify best practices, gaps and challenges in the implementation of the provisions under review, suggestions and, when necessary, technical assistance needs. In accordance with paragraph 43, discussions pertaining to country reviews will be undertaken in the relevant working groups. </w:t>
      </w:r>
    </w:p>
    <w:p w14:paraId="79D66C73" w14:textId="77777777" w:rsidR="00B635C0" w:rsidRPr="00553B0F" w:rsidRDefault="00B635C0" w:rsidP="00B635C0">
      <w:pPr>
        <w:pStyle w:val="SingleTxt"/>
        <w:ind w:left="1267" w:right="1267" w:hanging="1267"/>
      </w:pPr>
      <w:r>
        <w:rPr>
          <w:spacing w:val="0"/>
          <w:w w:val="100"/>
        </w:rPr>
        <w:tab/>
      </w:r>
      <w:r w:rsidRPr="00553B0F">
        <w:rPr>
          <w:spacing w:val="0"/>
          <w:w w:val="100"/>
        </w:rPr>
        <w:t>14.</w:t>
      </w:r>
      <w:r w:rsidRPr="00553B0F">
        <w:rPr>
          <w:spacing w:val="0"/>
          <w:w w:val="100"/>
        </w:rPr>
        <w:tab/>
      </w:r>
      <w:r w:rsidRPr="00553B0F">
        <w:t xml:space="preserve">The general review held in the plenary of the Conference of </w:t>
      </w:r>
      <w:r>
        <w:t xml:space="preserve">the </w:t>
      </w:r>
      <w:r w:rsidRPr="00553B0F">
        <w:t xml:space="preserve">Parties shall facilitate the exchange of experiences, lessons learned, best practices and challenges in implementing the Convention and Protocols and the identification of technical assistance needs, with a view to improving their effective implementation and promoting international cooperation. It will be facilitated by the general reports referred to in paragraph 19 of the present procedures and rules. </w:t>
      </w:r>
    </w:p>
    <w:p w14:paraId="320B6FE3" w14:textId="77777777" w:rsidR="00B635C0" w:rsidRPr="00553B0F" w:rsidRDefault="00B635C0" w:rsidP="00B635C0">
      <w:pPr>
        <w:pStyle w:val="SingleTxt"/>
        <w:ind w:left="1267" w:right="1267" w:hanging="1267"/>
      </w:pPr>
      <w:r>
        <w:rPr>
          <w:spacing w:val="0"/>
          <w:w w:val="100"/>
        </w:rPr>
        <w:tab/>
      </w:r>
      <w:r w:rsidRPr="00553B0F">
        <w:rPr>
          <w:spacing w:val="0"/>
          <w:w w:val="100"/>
        </w:rPr>
        <w:t>15.</w:t>
      </w:r>
      <w:r w:rsidRPr="00553B0F">
        <w:rPr>
          <w:spacing w:val="0"/>
          <w:w w:val="100"/>
        </w:rPr>
        <w:tab/>
      </w:r>
      <w:r w:rsidRPr="00553B0F">
        <w:t xml:space="preserve">The preparatory phase (years 1 and 2) shall be devoted to the definition of organizational matters, including the preparation of the guidelines for conducting the country reviews and the blueprint for the list of observations and the summaries, and the finalization, in accordance with paragraph 19 of the present </w:t>
      </w:r>
      <w:r>
        <w:t>p</w:t>
      </w:r>
      <w:r w:rsidRPr="00553B0F">
        <w:t xml:space="preserve">rocedures and </w:t>
      </w:r>
      <w:r>
        <w:t>r</w:t>
      </w:r>
      <w:r w:rsidRPr="00553B0F">
        <w:t xml:space="preserve">ules, of the self-assessment questionnaire for each of the instruments. This preparatory phase shall also be used to ensure the optimal and efficient use of existing information, tools, resources and technology as part of the review process. The </w:t>
      </w:r>
      <w:r>
        <w:br/>
      </w:r>
      <w:r w:rsidRPr="00553B0F">
        <w:t xml:space="preserve">four review phases shall be held from year 3 to year 12. For each group of States parties as set forth in paragraph 17, each phase shall last two years. The four review phases shall be conducted and concluded in line with the multi-year workplan contained in table 2 contained in the appendix. </w:t>
      </w:r>
    </w:p>
    <w:p w14:paraId="7BD037E5" w14:textId="77777777" w:rsidR="00B635C0" w:rsidRPr="00553B0F" w:rsidRDefault="00B635C0" w:rsidP="00B635C0">
      <w:pPr>
        <w:pStyle w:val="SingleTxt"/>
        <w:ind w:left="1267" w:right="1267" w:hanging="1267"/>
      </w:pPr>
      <w:r>
        <w:rPr>
          <w:spacing w:val="0"/>
          <w:w w:val="100"/>
        </w:rPr>
        <w:tab/>
      </w:r>
      <w:r w:rsidRPr="00553B0F">
        <w:rPr>
          <w:spacing w:val="0"/>
          <w:w w:val="100"/>
        </w:rPr>
        <w:t>16.</w:t>
      </w:r>
      <w:r w:rsidRPr="00553B0F">
        <w:rPr>
          <w:spacing w:val="0"/>
          <w:w w:val="100"/>
        </w:rPr>
        <w:tab/>
      </w:r>
      <w:r w:rsidRPr="00553B0F">
        <w:t xml:space="preserve">The Conference may decide to make amendments to the multi-year workplan if doing so is deemed appropriate in the light of the efficient functioning of the Mechanism. The relevant working groups may recommend to the Conference adjustments to the multi-year workplan. </w:t>
      </w:r>
    </w:p>
    <w:p w14:paraId="7DFD43A0" w14:textId="77777777" w:rsidR="00B635C0" w:rsidRPr="00553B0F" w:rsidRDefault="00B635C0" w:rsidP="00B635C0">
      <w:pPr>
        <w:pStyle w:val="SingleTxt"/>
        <w:ind w:left="1267" w:right="1267" w:hanging="1267"/>
      </w:pPr>
      <w:r>
        <w:rPr>
          <w:spacing w:val="0"/>
          <w:w w:val="100"/>
        </w:rPr>
        <w:tab/>
      </w:r>
      <w:r w:rsidRPr="00553B0F">
        <w:rPr>
          <w:spacing w:val="0"/>
          <w:w w:val="100"/>
        </w:rPr>
        <w:t>17.</w:t>
      </w:r>
      <w:r w:rsidRPr="00553B0F">
        <w:rPr>
          <w:spacing w:val="0"/>
          <w:w w:val="100"/>
        </w:rPr>
        <w:tab/>
      </w:r>
      <w:r w:rsidRPr="00553B0F">
        <w:t xml:space="preserve">The selection of States parties participating in the country reviews shall be carried out by the drawing of lots at the beginning of the review process, staggered in three consecutive years. Each year, one third of the States parties to the Convention will be selected to be reviewed for all the instruments they are parties to, in accordance with paragraphs 28 and 29 of the present </w:t>
      </w:r>
      <w:r>
        <w:t>p</w:t>
      </w:r>
      <w:r w:rsidRPr="00553B0F">
        <w:t xml:space="preserve">rocedures and </w:t>
      </w:r>
      <w:r>
        <w:t>r</w:t>
      </w:r>
      <w:r w:rsidRPr="00553B0F">
        <w:t xml:space="preserve">ules. If possible, the number of States parties from each regional group to be selected for review in a given year shall be proportionate to the size of that regional group. </w:t>
      </w:r>
    </w:p>
    <w:p w14:paraId="78183FA4" w14:textId="77777777" w:rsidR="00B635C0" w:rsidRPr="00553B0F" w:rsidRDefault="00B635C0" w:rsidP="00B635C0">
      <w:pPr>
        <w:pStyle w:val="SingleTxt"/>
        <w:ind w:left="1267" w:right="1267" w:hanging="1267"/>
      </w:pPr>
      <w:r>
        <w:rPr>
          <w:spacing w:val="0"/>
          <w:w w:val="100"/>
        </w:rPr>
        <w:tab/>
      </w:r>
      <w:r w:rsidRPr="00553B0F">
        <w:rPr>
          <w:spacing w:val="0"/>
          <w:w w:val="100"/>
        </w:rPr>
        <w:t>18.</w:t>
      </w:r>
      <w:r w:rsidRPr="00553B0F">
        <w:rPr>
          <w:spacing w:val="0"/>
          <w:w w:val="100"/>
        </w:rPr>
        <w:tab/>
      </w:r>
      <w:r w:rsidRPr="00553B0F">
        <w:t>Each State party shall appoint a focal point to coordinate i</w:t>
      </w:r>
      <w:r>
        <w:t xml:space="preserve">ts participation in the review, </w:t>
      </w:r>
      <w:r w:rsidRPr="00553B0F">
        <w:t xml:space="preserve">and make this information available on the knowledge management portal known as Sharing Electronic Resources and Laws on Crime (SHERLOC). In the case that a State party has not appointed a focal point by the time of the drawing of the lots referred to in paragraph 28, all communications will be submitted to its permanent representative, who shall act as temporary focal point. </w:t>
      </w:r>
    </w:p>
    <w:p w14:paraId="554E73C8" w14:textId="77777777" w:rsidR="00B635C0" w:rsidRPr="00553B0F" w:rsidRDefault="00B635C0" w:rsidP="00B635C0">
      <w:pPr>
        <w:pStyle w:val="SingleTxt"/>
        <w:spacing w:after="0" w:line="120" w:lineRule="atLeast"/>
        <w:ind w:hanging="1267"/>
        <w:rPr>
          <w:sz w:val="10"/>
        </w:rPr>
      </w:pPr>
    </w:p>
    <w:p w14:paraId="3DBCAD94" w14:textId="77777777" w:rsidR="00B635C0" w:rsidRPr="00553B0F" w:rsidRDefault="00B635C0" w:rsidP="00B635C0">
      <w:pPr>
        <w:pStyle w:val="SingleTxt"/>
        <w:spacing w:after="0" w:line="120" w:lineRule="atLeast"/>
        <w:ind w:hanging="1267"/>
        <w:rPr>
          <w:sz w:val="10"/>
        </w:rPr>
      </w:pPr>
    </w:p>
    <w:p w14:paraId="0A5BCC27" w14:textId="77777777" w:rsidR="00B635C0" w:rsidRPr="00553B0F" w:rsidRDefault="00B635C0" w:rsidP="00B635C0">
      <w:pPr>
        <w:pStyle w:val="H1"/>
        <w:ind w:left="1267" w:right="1260" w:hanging="1267"/>
      </w:pPr>
      <w:r w:rsidRPr="00553B0F">
        <w:tab/>
        <w:t>C.</w:t>
      </w:r>
      <w:r w:rsidRPr="00553B0F">
        <w:tab/>
        <w:t>Information-gathering</w:t>
      </w:r>
    </w:p>
    <w:p w14:paraId="7EB3AF48" w14:textId="77777777" w:rsidR="00B635C0" w:rsidRPr="00553B0F" w:rsidRDefault="00B635C0" w:rsidP="00B635C0">
      <w:pPr>
        <w:pStyle w:val="SingleTxt"/>
        <w:spacing w:after="0" w:line="120" w:lineRule="atLeast"/>
        <w:ind w:hanging="1267"/>
        <w:rPr>
          <w:sz w:val="10"/>
        </w:rPr>
      </w:pPr>
    </w:p>
    <w:p w14:paraId="4E58696C" w14:textId="77777777" w:rsidR="00B635C0" w:rsidRPr="00553B0F" w:rsidRDefault="00B635C0" w:rsidP="00B635C0">
      <w:pPr>
        <w:pStyle w:val="SingleTxt"/>
        <w:spacing w:after="0" w:line="120" w:lineRule="atLeast"/>
        <w:ind w:hanging="1267"/>
        <w:rPr>
          <w:sz w:val="10"/>
        </w:rPr>
      </w:pPr>
    </w:p>
    <w:p w14:paraId="30D12F46" w14:textId="77777777" w:rsidR="00B635C0" w:rsidRPr="00553B0F" w:rsidRDefault="00B635C0" w:rsidP="00B635C0">
      <w:pPr>
        <w:pStyle w:val="SingleTxt"/>
        <w:ind w:left="1267" w:right="1267" w:hanging="1267"/>
      </w:pPr>
      <w:r>
        <w:rPr>
          <w:spacing w:val="0"/>
          <w:w w:val="100"/>
        </w:rPr>
        <w:tab/>
      </w:r>
      <w:r w:rsidRPr="00553B0F">
        <w:rPr>
          <w:spacing w:val="0"/>
          <w:w w:val="100"/>
        </w:rPr>
        <w:t>19.</w:t>
      </w:r>
      <w:r w:rsidRPr="00553B0F">
        <w:rPr>
          <w:spacing w:val="0"/>
          <w:w w:val="100"/>
        </w:rPr>
        <w:tab/>
      </w:r>
      <w:r w:rsidRPr="00553B0F">
        <w:t xml:space="preserve">In order to review each thematic cluster of articles of the Convention and Protocols thereto, short, precise and focused self-assessment questionnaires for the review of implementation of each instrument shall be finalized during the preparatory phase. Provisions of the Convention that apply to the Protocols, mutatis mutandis, will be reviewed under the Convention only. In responding to the questionnaires, States parties are invited to provide complete, up-to-date, accurate and timely information in one of the working languages of the Mechanism, in accordance with section VII. </w:t>
      </w:r>
      <w:bookmarkStart w:id="10" w:name="_Hlk529369699"/>
      <w:r w:rsidRPr="00553B0F">
        <w:t xml:space="preserve">The responses to the questionnaires and the lists of observations indicated in paragraph 38, when available, shall be the basis for a </w:t>
      </w:r>
      <w:bookmarkStart w:id="11" w:name="_Hlk527203556"/>
      <w:r w:rsidRPr="00553B0F">
        <w:t xml:space="preserve">general report of trends, patterns and best practices </w:t>
      </w:r>
      <w:bookmarkEnd w:id="11"/>
      <w:r w:rsidRPr="00553B0F">
        <w:t>to be prepared — or updated as appropriate — by the Secretariat for consideration by the Conference at its regular sessions.</w:t>
      </w:r>
      <w:bookmarkEnd w:id="10"/>
      <w:r w:rsidRPr="00553B0F">
        <w:t xml:space="preserve"> The responses to the questionnaires shall be the basis for the country review, without prejudice to information or clarification requested by the reviewing States parties and provided by the State party under review. </w:t>
      </w:r>
    </w:p>
    <w:p w14:paraId="640F5E81" w14:textId="77777777" w:rsidR="00B635C0" w:rsidRPr="00553B0F" w:rsidRDefault="00B635C0" w:rsidP="00B635C0">
      <w:pPr>
        <w:pStyle w:val="SingleTxt"/>
        <w:ind w:left="1267" w:right="1267" w:hanging="1267"/>
      </w:pPr>
      <w:r>
        <w:rPr>
          <w:spacing w:val="0"/>
          <w:w w:val="100"/>
        </w:rPr>
        <w:tab/>
      </w:r>
      <w:r w:rsidRPr="00553B0F">
        <w:rPr>
          <w:spacing w:val="0"/>
          <w:w w:val="100"/>
        </w:rPr>
        <w:t>20.</w:t>
      </w:r>
      <w:r w:rsidRPr="00553B0F">
        <w:rPr>
          <w:spacing w:val="0"/>
          <w:w w:val="100"/>
        </w:rPr>
        <w:tab/>
      </w:r>
      <w:r w:rsidRPr="00553B0F">
        <w:t>Each State party under review shall provide the responses to the self-assessment questionnaire to the reviewing States parties through the secure module of SHERLOC established in line with paragraph 21. Upon request, the Secretariat shall facilitate the States parties uploading information, including by assisting them with e-training, instructions, advice</w:t>
      </w:r>
      <w:r>
        <w:t xml:space="preserve"> and</w:t>
      </w:r>
      <w:r w:rsidRPr="00553B0F">
        <w:t xml:space="preserve"> credentials. </w:t>
      </w:r>
    </w:p>
    <w:p w14:paraId="3CA95F0B" w14:textId="77777777" w:rsidR="00B635C0" w:rsidRPr="00553B0F" w:rsidRDefault="00B635C0" w:rsidP="00B635C0">
      <w:pPr>
        <w:pStyle w:val="SingleTxt"/>
        <w:ind w:left="1267" w:right="1267" w:hanging="1267"/>
      </w:pPr>
      <w:r>
        <w:rPr>
          <w:spacing w:val="0"/>
          <w:w w:val="100"/>
        </w:rPr>
        <w:tab/>
      </w:r>
      <w:r w:rsidRPr="00553B0F">
        <w:rPr>
          <w:spacing w:val="0"/>
          <w:w w:val="100"/>
        </w:rPr>
        <w:t>21.</w:t>
      </w:r>
      <w:r w:rsidRPr="00553B0F">
        <w:rPr>
          <w:spacing w:val="0"/>
          <w:w w:val="100"/>
        </w:rPr>
        <w:tab/>
      </w:r>
      <w:r w:rsidRPr="00553B0F">
        <w:t xml:space="preserve">The self-assessment questionnaire shall be available on SHERLOC. A new secure module shall be developed as a further component of SHERLOC to host the questionnaires and responses thereto, which shall ensure the full confidentiality of all data submitted by States parties. The module shall include a secure written communications platform for the ensuing dialogue between the State party under review and the reviewing States parties, and archive capabilities. </w:t>
      </w:r>
    </w:p>
    <w:p w14:paraId="48AFFD37" w14:textId="77777777" w:rsidR="00B635C0" w:rsidRPr="00553B0F" w:rsidRDefault="00B635C0" w:rsidP="00B635C0">
      <w:pPr>
        <w:pStyle w:val="SingleTxt"/>
        <w:ind w:left="1267" w:right="1267" w:hanging="1267"/>
      </w:pPr>
      <w:r>
        <w:rPr>
          <w:spacing w:val="0"/>
          <w:w w:val="100"/>
        </w:rPr>
        <w:tab/>
      </w:r>
      <w:r w:rsidRPr="00553B0F">
        <w:rPr>
          <w:spacing w:val="0"/>
          <w:w w:val="100"/>
        </w:rPr>
        <w:t>22.</w:t>
      </w:r>
      <w:r w:rsidRPr="00553B0F">
        <w:rPr>
          <w:spacing w:val="0"/>
          <w:w w:val="100"/>
        </w:rPr>
        <w:tab/>
      </w:r>
      <w:r w:rsidRPr="00553B0F">
        <w:t xml:space="preserve">When responding to the self-assessment questionnaires, States parties may also refer to information provided in the context of other relevant review mechanisms of instruments to which they are parties. </w:t>
      </w:r>
      <w:bookmarkStart w:id="12" w:name="_Hlk517683805"/>
      <w:r w:rsidRPr="00553B0F">
        <w:t xml:space="preserve">States parties shall bear in mind that any update since previous submissions of information under other review mechanisms are appropriately reflected in the responses. </w:t>
      </w:r>
      <w:bookmarkEnd w:id="12"/>
      <w:r w:rsidRPr="00553B0F">
        <w:t xml:space="preserve">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2292071E" w14:textId="77777777" w:rsidR="00B635C0" w:rsidRPr="00553B0F" w:rsidRDefault="00B635C0" w:rsidP="00B635C0">
      <w:pPr>
        <w:pStyle w:val="SingleTxt"/>
        <w:ind w:left="1267" w:right="1267" w:hanging="1267"/>
      </w:pPr>
      <w:r>
        <w:rPr>
          <w:spacing w:val="0"/>
          <w:w w:val="100"/>
        </w:rPr>
        <w:tab/>
      </w:r>
      <w:r w:rsidRPr="00553B0F">
        <w:rPr>
          <w:spacing w:val="0"/>
          <w:w w:val="100"/>
        </w:rPr>
        <w:t>23.</w:t>
      </w:r>
      <w:r w:rsidRPr="00553B0F">
        <w:rPr>
          <w:spacing w:val="0"/>
          <w:w w:val="100"/>
        </w:rPr>
        <w:tab/>
      </w:r>
      <w:r w:rsidRPr="00553B0F">
        <w:t xml:space="preserve">The State party under review is encouraged to prepare its responses to the </w:t>
      </w:r>
      <w:r>
        <w:br/>
      </w:r>
      <w:r w:rsidRPr="00553B0F">
        <w:t xml:space="preserve">self-assessment questionnaire through broad consultations at the national level with all relevant stakeholders, including, where appropriate, the private sector, individuals and groups outside the public sector, non-governmental organizations and academia, taking into consideration the specificities of the Convention and the Protocols thereto. </w:t>
      </w:r>
    </w:p>
    <w:p w14:paraId="5727BF19" w14:textId="77777777" w:rsidR="00B635C0" w:rsidRPr="00553B0F" w:rsidRDefault="00B635C0" w:rsidP="00B635C0">
      <w:pPr>
        <w:pStyle w:val="SingleTxt"/>
        <w:ind w:left="1267" w:right="1267" w:hanging="1267"/>
      </w:pPr>
      <w:r>
        <w:rPr>
          <w:spacing w:val="0"/>
          <w:w w:val="100"/>
        </w:rPr>
        <w:tab/>
      </w:r>
      <w:r w:rsidRPr="00553B0F">
        <w:rPr>
          <w:spacing w:val="0"/>
          <w:w w:val="100"/>
        </w:rPr>
        <w:t>24.</w:t>
      </w:r>
      <w:r w:rsidRPr="00553B0F">
        <w:rPr>
          <w:spacing w:val="0"/>
          <w:w w:val="100"/>
        </w:rPr>
        <w:tab/>
      </w:r>
      <w:r w:rsidRPr="00553B0F">
        <w:t xml:space="preserve">The Secretariat shall be responsible for optimizing and maintaining SHERLOC to serve as the user-friendly database for collecting and disseminating information on the Mechanism. </w:t>
      </w:r>
    </w:p>
    <w:p w14:paraId="2ADAFA93" w14:textId="77777777" w:rsidR="00B635C0" w:rsidRPr="00553B0F" w:rsidRDefault="00B635C0" w:rsidP="00B635C0">
      <w:pPr>
        <w:pStyle w:val="SingleTxt"/>
        <w:spacing w:after="0" w:line="120" w:lineRule="atLeast"/>
        <w:ind w:hanging="1267"/>
        <w:rPr>
          <w:sz w:val="10"/>
        </w:rPr>
      </w:pPr>
    </w:p>
    <w:p w14:paraId="2DCBA0BC" w14:textId="77777777" w:rsidR="00B635C0" w:rsidRPr="00553B0F" w:rsidRDefault="00B635C0" w:rsidP="00B635C0">
      <w:pPr>
        <w:pStyle w:val="SingleTxt"/>
        <w:spacing w:after="0" w:line="120" w:lineRule="atLeast"/>
        <w:ind w:hanging="1267"/>
        <w:rPr>
          <w:sz w:val="10"/>
        </w:rPr>
      </w:pPr>
    </w:p>
    <w:p w14:paraId="77E22323" w14:textId="77777777" w:rsidR="00B635C0" w:rsidRPr="00553B0F" w:rsidRDefault="00B635C0" w:rsidP="00B635C0">
      <w:pPr>
        <w:pStyle w:val="H1"/>
        <w:ind w:left="1267" w:right="1260" w:hanging="1267"/>
      </w:pPr>
      <w:r w:rsidRPr="00553B0F">
        <w:tab/>
        <w:t>D.</w:t>
      </w:r>
      <w:r w:rsidRPr="00553B0F">
        <w:tab/>
        <w:t>Conduct of the country review</w:t>
      </w:r>
    </w:p>
    <w:p w14:paraId="396AE38F" w14:textId="77777777" w:rsidR="00B635C0" w:rsidRPr="00553B0F" w:rsidRDefault="00B635C0" w:rsidP="00B635C0">
      <w:pPr>
        <w:pStyle w:val="SingleTxt"/>
        <w:spacing w:after="0" w:line="120" w:lineRule="atLeast"/>
        <w:ind w:hanging="1267"/>
        <w:rPr>
          <w:sz w:val="10"/>
        </w:rPr>
      </w:pPr>
    </w:p>
    <w:p w14:paraId="54A8C9E0" w14:textId="77777777" w:rsidR="00B635C0" w:rsidRPr="00553B0F" w:rsidRDefault="00B635C0" w:rsidP="00B635C0">
      <w:pPr>
        <w:pStyle w:val="SingleTxt"/>
        <w:spacing w:after="0" w:line="120" w:lineRule="atLeast"/>
        <w:ind w:hanging="1267"/>
        <w:rPr>
          <w:sz w:val="10"/>
        </w:rPr>
      </w:pPr>
    </w:p>
    <w:p w14:paraId="6A5589EA" w14:textId="77777777" w:rsidR="00B635C0" w:rsidRPr="00553B0F" w:rsidRDefault="00B635C0" w:rsidP="00B635C0">
      <w:pPr>
        <w:pStyle w:val="SingleTxt"/>
        <w:ind w:left="1267" w:right="1267" w:hanging="1267"/>
      </w:pPr>
      <w:r>
        <w:rPr>
          <w:spacing w:val="0"/>
          <w:w w:val="100"/>
        </w:rPr>
        <w:tab/>
      </w:r>
      <w:r w:rsidRPr="00553B0F">
        <w:rPr>
          <w:spacing w:val="0"/>
          <w:w w:val="100"/>
        </w:rPr>
        <w:t>25.</w:t>
      </w:r>
      <w:r w:rsidRPr="00553B0F">
        <w:rPr>
          <w:spacing w:val="0"/>
          <w:w w:val="100"/>
        </w:rPr>
        <w:tab/>
      </w:r>
      <w:r w:rsidRPr="00553B0F">
        <w:t xml:space="preserve">The country review shall consist of a single review for each State party of its implementation of the Convention and of each Protocol it is party to. It shall be conducted in phases, with each phase beginning with the completion by the State party under review of the relevant sections of the self-assessment questionnaire on its implementation of each instrument to which it is a party. </w:t>
      </w:r>
    </w:p>
    <w:p w14:paraId="6E98B34B" w14:textId="77777777" w:rsidR="00B635C0" w:rsidRPr="00553B0F" w:rsidRDefault="00B635C0" w:rsidP="00B635C0">
      <w:pPr>
        <w:pStyle w:val="SingleTxt"/>
        <w:ind w:left="1267" w:right="1267" w:hanging="1267"/>
      </w:pPr>
      <w:r>
        <w:rPr>
          <w:spacing w:val="0"/>
          <w:w w:val="100"/>
        </w:rPr>
        <w:tab/>
      </w:r>
      <w:r w:rsidRPr="00553B0F">
        <w:rPr>
          <w:spacing w:val="0"/>
          <w:w w:val="100"/>
        </w:rPr>
        <w:t>26.</w:t>
      </w:r>
      <w:r w:rsidRPr="00553B0F">
        <w:rPr>
          <w:spacing w:val="0"/>
          <w:w w:val="100"/>
        </w:rPr>
        <w:tab/>
      </w:r>
      <w:r w:rsidRPr="00553B0F">
        <w:t xml:space="preserve">The responses to the self-assessment questionnaire and any additional information provided by the State party under review, including reference to relevant legislation, shall be reviewed by two other States that are parties to the relevant instruments, with the active involvement of the State party under review. States parties under review are also encouraged to provide to SHERLOC any other reference materials that may contribute to a better understanding of their legal framework. </w:t>
      </w:r>
    </w:p>
    <w:p w14:paraId="7323238D" w14:textId="77777777" w:rsidR="00B635C0" w:rsidRPr="00553B0F" w:rsidRDefault="00B635C0" w:rsidP="00B635C0">
      <w:pPr>
        <w:pStyle w:val="SingleTxt"/>
        <w:ind w:left="1267" w:right="1267" w:hanging="1267"/>
      </w:pPr>
      <w:r>
        <w:rPr>
          <w:spacing w:val="0"/>
          <w:w w:val="100"/>
        </w:rPr>
        <w:tab/>
      </w:r>
      <w:r w:rsidRPr="00553B0F">
        <w:rPr>
          <w:spacing w:val="0"/>
          <w:w w:val="100"/>
        </w:rPr>
        <w:t>27.</w:t>
      </w:r>
      <w:r w:rsidRPr="00553B0F">
        <w:rPr>
          <w:spacing w:val="0"/>
          <w:w w:val="100"/>
        </w:rPr>
        <w:tab/>
      </w:r>
      <w:r w:rsidRPr="00553B0F">
        <w:t xml:space="preserve">Each State party shall, for the purposes of the review, designate at least </w:t>
      </w:r>
      <w:r w:rsidRPr="00553B0F">
        <w:br/>
        <w:t xml:space="preserve">one governmental expert with expertise relevant to the instruments it is party to and make this information available on SHERLOC. </w:t>
      </w:r>
    </w:p>
    <w:p w14:paraId="2617DA3A" w14:textId="77777777" w:rsidR="00B635C0" w:rsidRPr="00553B0F" w:rsidRDefault="00B635C0" w:rsidP="00B635C0">
      <w:pPr>
        <w:pStyle w:val="SingleTxt"/>
        <w:ind w:left="1267" w:right="1267" w:hanging="1267"/>
      </w:pPr>
      <w:r>
        <w:rPr>
          <w:spacing w:val="0"/>
          <w:w w:val="100"/>
        </w:rPr>
        <w:tab/>
      </w:r>
      <w:r w:rsidRPr="00553B0F">
        <w:rPr>
          <w:spacing w:val="0"/>
          <w:w w:val="100"/>
        </w:rPr>
        <w:t>28.</w:t>
      </w:r>
      <w:r w:rsidRPr="00553B0F">
        <w:rPr>
          <w:spacing w:val="0"/>
          <w:w w:val="100"/>
        </w:rPr>
        <w:tab/>
      </w:r>
      <w:r w:rsidRPr="00553B0F">
        <w:t xml:space="preserve">At the beginning of the review process, a joint intersessional meeting of the working groups without interpretation shall draw lots to select as reviewing States one State from the regional group of the State party under review and one State from another regional group. The reviewing States shall serve as such for the duration of the review process for each State party under review through four subsequent review phases. The method for the drawing of lots will be based on the following criteria: </w:t>
      </w:r>
    </w:p>
    <w:p w14:paraId="7C1B9C3D" w14:textId="77777777" w:rsidR="00B635C0" w:rsidRPr="00553B0F" w:rsidRDefault="00B635C0" w:rsidP="00B635C0">
      <w:pPr>
        <w:pStyle w:val="SingleTxt"/>
        <w:ind w:hanging="1267"/>
      </w:pPr>
      <w:r w:rsidRPr="00553B0F">
        <w:tab/>
      </w:r>
      <w:r w:rsidRPr="00553B0F">
        <w:tab/>
        <w:t>(a)</w:t>
      </w:r>
      <w:r w:rsidRPr="00553B0F">
        <w:tab/>
        <w:t>States shall not undertake mutual reviews;</w:t>
      </w:r>
    </w:p>
    <w:p w14:paraId="4A45C0B4" w14:textId="77777777" w:rsidR="00B635C0" w:rsidRPr="00553B0F" w:rsidRDefault="00B635C0" w:rsidP="00B635C0">
      <w:pPr>
        <w:pStyle w:val="SingleTxt"/>
        <w:ind w:hanging="1267"/>
      </w:pPr>
      <w:r w:rsidRPr="00553B0F">
        <w:tab/>
      </w:r>
      <w:r w:rsidRPr="00553B0F">
        <w:tab/>
        <w:t>(b)</w:t>
      </w:r>
      <w:r w:rsidRPr="00553B0F">
        <w:tab/>
        <w:t>For each instrument, a State party under review shall not be reviewed by States which are not parties to the same instrument; in the case that a drawn reviewing State is not party to all the instruments to which the State under review is party, an additional drawing of lots shall be carried out so as to select an additional reviewing State only for those instruments;</w:t>
      </w:r>
    </w:p>
    <w:p w14:paraId="70FE8CA2" w14:textId="77777777" w:rsidR="00B635C0" w:rsidRPr="00553B0F" w:rsidRDefault="00B635C0" w:rsidP="00B635C0">
      <w:pPr>
        <w:pStyle w:val="SingleTxt"/>
        <w:ind w:hanging="1267"/>
      </w:pPr>
      <w:r w:rsidRPr="00553B0F">
        <w:tab/>
      </w:r>
      <w:r w:rsidRPr="00553B0F">
        <w:tab/>
        <w:t>(c)</w:t>
      </w:r>
      <w:r w:rsidRPr="00553B0F">
        <w:tab/>
        <w:t>The total number of reviewing States for all instruments shall not exceed four unless the State under review decides otherwise;</w:t>
      </w:r>
    </w:p>
    <w:p w14:paraId="70661B7C" w14:textId="77777777" w:rsidR="00B635C0" w:rsidRPr="00553B0F" w:rsidRDefault="00B635C0" w:rsidP="00B635C0">
      <w:pPr>
        <w:pStyle w:val="SingleTxt"/>
        <w:ind w:hanging="1267"/>
      </w:pPr>
      <w:r w:rsidRPr="00553B0F">
        <w:tab/>
      </w:r>
      <w:r w:rsidRPr="00553B0F">
        <w:tab/>
        <w:t>(d)</w:t>
      </w:r>
      <w:r w:rsidRPr="00553B0F">
        <w:tab/>
        <w:t xml:space="preserve">The State party under review and the reviewing States may request a maximum of four times each that the drawing of lots be repeated, including but not limited to, for the purpose of facilitating the selection of a mutual working language for the conduct of the country review or to facilitate the participation of at least </w:t>
      </w:r>
      <w:r>
        <w:br/>
      </w:r>
      <w:r w:rsidRPr="00553B0F">
        <w:t>one reviewing State from a similar legal system;</w:t>
      </w:r>
    </w:p>
    <w:p w14:paraId="18394EF9" w14:textId="77777777" w:rsidR="00B635C0" w:rsidRPr="00553B0F" w:rsidRDefault="00B635C0" w:rsidP="00B635C0">
      <w:pPr>
        <w:pStyle w:val="SingleTxt"/>
        <w:ind w:hanging="1267"/>
      </w:pPr>
      <w:r w:rsidRPr="00553B0F">
        <w:tab/>
      </w:r>
      <w:r w:rsidRPr="00553B0F">
        <w:tab/>
        <w:t>(e)</w:t>
      </w:r>
      <w:r w:rsidRPr="00553B0F">
        <w:tab/>
        <w:t>In exceptional circumstances, States parties may request a redraw;</w:t>
      </w:r>
    </w:p>
    <w:p w14:paraId="699761B9" w14:textId="77777777" w:rsidR="00B635C0" w:rsidRPr="00553B0F" w:rsidRDefault="00B635C0" w:rsidP="00B635C0">
      <w:pPr>
        <w:pStyle w:val="SingleTxt"/>
        <w:ind w:hanging="1267"/>
      </w:pPr>
      <w:r w:rsidRPr="00553B0F">
        <w:tab/>
      </w:r>
      <w:r w:rsidRPr="00553B0F">
        <w:tab/>
        <w:t>(f)</w:t>
      </w:r>
      <w:r w:rsidRPr="00553B0F">
        <w:tab/>
        <w:t xml:space="preserve">If needed, the drawing of lots may be repeated at a subsequent intersessional meeting. </w:t>
      </w:r>
    </w:p>
    <w:p w14:paraId="6F8CEA0B" w14:textId="77777777" w:rsidR="00B635C0" w:rsidRPr="00553B0F" w:rsidRDefault="00B635C0" w:rsidP="00B635C0">
      <w:pPr>
        <w:pStyle w:val="SingleTxt"/>
        <w:ind w:left="1267" w:right="1267" w:hanging="1267"/>
      </w:pPr>
      <w:r>
        <w:rPr>
          <w:spacing w:val="0"/>
          <w:w w:val="100"/>
        </w:rPr>
        <w:tab/>
      </w:r>
      <w:r w:rsidRPr="00553B0F">
        <w:rPr>
          <w:spacing w:val="0"/>
          <w:w w:val="100"/>
        </w:rPr>
        <w:t>29.</w:t>
      </w:r>
      <w:r w:rsidRPr="00553B0F">
        <w:rPr>
          <w:spacing w:val="0"/>
          <w:w w:val="100"/>
        </w:rPr>
        <w:tab/>
      </w:r>
      <w:r w:rsidRPr="00553B0F">
        <w:t xml:space="preserve">By the end of the review process, each State party must have undergone its own review and performed a minimum of one review and a maximum of three reviews. On a voluntary basis, States parties may participate as reviewing State party in more than three reviews. </w:t>
      </w:r>
    </w:p>
    <w:p w14:paraId="0BFBA129" w14:textId="77777777" w:rsidR="00B635C0" w:rsidRPr="00553B0F" w:rsidRDefault="00B635C0" w:rsidP="00B635C0">
      <w:pPr>
        <w:pStyle w:val="SingleTxt"/>
        <w:ind w:left="1267" w:right="1267" w:hanging="1267"/>
      </w:pPr>
      <w:r>
        <w:rPr>
          <w:spacing w:val="0"/>
          <w:w w:val="100"/>
        </w:rPr>
        <w:tab/>
      </w:r>
      <w:r w:rsidRPr="00553B0F">
        <w:rPr>
          <w:spacing w:val="0"/>
          <w:w w:val="100"/>
        </w:rPr>
        <w:t>30.</w:t>
      </w:r>
      <w:r w:rsidRPr="00553B0F">
        <w:rPr>
          <w:spacing w:val="0"/>
          <w:w w:val="100"/>
        </w:rPr>
        <w:tab/>
      </w:r>
      <w:r w:rsidRPr="00553B0F">
        <w:t xml:space="preserve">If a reviewing State party is unable to carry out its duties as a reviewer, in accordance with the guiding principles of the Mechanism, the State party under review shall request a consultation with </w:t>
      </w:r>
      <w:r>
        <w:t xml:space="preserve">that </w:t>
      </w:r>
      <w:r w:rsidRPr="00553B0F">
        <w:t xml:space="preserve">reviewing State party and the Secretariat with a view to addressing the concern. In the case that the States parties fail to resolve the issue through the consultation, the State party under review may request a redrawing of lots at any time. The redrawing of lots shall be held in any working group meeting and in accordance with the provisions of paragraph 28. </w:t>
      </w:r>
    </w:p>
    <w:p w14:paraId="4F624A6E" w14:textId="77777777" w:rsidR="00B635C0" w:rsidRPr="00553B0F" w:rsidRDefault="00B635C0" w:rsidP="00B635C0">
      <w:pPr>
        <w:pStyle w:val="SingleTxt"/>
        <w:ind w:left="1267" w:right="1267" w:hanging="1267"/>
      </w:pPr>
      <w:r>
        <w:rPr>
          <w:spacing w:val="0"/>
          <w:w w:val="100"/>
        </w:rPr>
        <w:tab/>
      </w:r>
      <w:r w:rsidRPr="00553B0F">
        <w:rPr>
          <w:spacing w:val="0"/>
          <w:w w:val="100"/>
        </w:rPr>
        <w:t>31.</w:t>
      </w:r>
      <w:r w:rsidRPr="00553B0F">
        <w:rPr>
          <w:spacing w:val="0"/>
          <w:w w:val="100"/>
        </w:rPr>
        <w:tab/>
      </w:r>
      <w:r w:rsidRPr="00553B0F">
        <w:t xml:space="preserve">The State party under review shall undertake consultations with the reviewing States parties, through their focal points, with the assistance of the Secretariat, on the establishment of time frames and the requirements of the country review, in accordance with the guidelines for conducting the country reviews, including the selection of the working language or languages, in accordance with section VII of the present </w:t>
      </w:r>
      <w:r>
        <w:t>p</w:t>
      </w:r>
      <w:r w:rsidRPr="00553B0F">
        <w:t xml:space="preserve">rocedures and </w:t>
      </w:r>
      <w:r>
        <w:t>r</w:t>
      </w:r>
      <w:r w:rsidRPr="00553B0F">
        <w:t xml:space="preserve">ules. </w:t>
      </w:r>
    </w:p>
    <w:p w14:paraId="08CE4212" w14:textId="77777777" w:rsidR="00B635C0" w:rsidRPr="00553B0F" w:rsidRDefault="00B635C0" w:rsidP="00B635C0">
      <w:pPr>
        <w:pStyle w:val="SingleTxt"/>
        <w:ind w:left="1267" w:right="1267" w:hanging="1267"/>
      </w:pPr>
      <w:r>
        <w:rPr>
          <w:spacing w:val="0"/>
          <w:w w:val="100"/>
        </w:rPr>
        <w:tab/>
      </w:r>
      <w:r w:rsidRPr="00553B0F">
        <w:rPr>
          <w:spacing w:val="0"/>
          <w:w w:val="100"/>
        </w:rPr>
        <w:t>32.</w:t>
      </w:r>
      <w:r w:rsidRPr="00553B0F">
        <w:rPr>
          <w:spacing w:val="0"/>
          <w:w w:val="100"/>
        </w:rPr>
        <w:tab/>
      </w:r>
      <w:r w:rsidRPr="00553B0F">
        <w:t xml:space="preserve">Governmental experts from the reviewing States parties with expertise relating to the relevant instrument may divide tasks and issues among themselves, taking into account their respective fields of competence. </w:t>
      </w:r>
    </w:p>
    <w:p w14:paraId="6BC9536D" w14:textId="77777777" w:rsidR="00B635C0" w:rsidRPr="00553B0F" w:rsidRDefault="00B635C0" w:rsidP="00B635C0">
      <w:pPr>
        <w:pStyle w:val="SingleTxt"/>
        <w:ind w:left="1267" w:right="1267" w:hanging="1267"/>
      </w:pPr>
      <w:r>
        <w:rPr>
          <w:spacing w:val="0"/>
          <w:w w:val="100"/>
        </w:rPr>
        <w:tab/>
      </w:r>
      <w:r w:rsidRPr="00553B0F">
        <w:rPr>
          <w:spacing w:val="0"/>
          <w:w w:val="100"/>
        </w:rPr>
        <w:t>33.</w:t>
      </w:r>
      <w:r w:rsidRPr="00553B0F">
        <w:rPr>
          <w:spacing w:val="0"/>
          <w:w w:val="100"/>
        </w:rPr>
        <w:tab/>
      </w:r>
      <w:r w:rsidRPr="00553B0F">
        <w:t>The Secretariat shall provide administrative support to facilitate the establishment of lines of communication among the governmental experts involved in the country review upon request, in order to ensure that they can make best use of the secure written communication platform developed under SHERLOC and referred to in paragraph 21. The Secretariat shall be kept abreast of all communications made through SHERLOC.</w:t>
      </w:r>
    </w:p>
    <w:p w14:paraId="259260DB" w14:textId="77777777" w:rsidR="00B635C0" w:rsidRPr="00553B0F" w:rsidRDefault="00B635C0" w:rsidP="00B635C0">
      <w:pPr>
        <w:pStyle w:val="SingleTxt"/>
        <w:ind w:left="1267" w:right="1267" w:hanging="1267"/>
      </w:pPr>
      <w:r>
        <w:rPr>
          <w:spacing w:val="0"/>
          <w:w w:val="100"/>
        </w:rPr>
        <w:tab/>
      </w:r>
      <w:r w:rsidRPr="00553B0F">
        <w:rPr>
          <w:spacing w:val="0"/>
          <w:w w:val="100"/>
        </w:rPr>
        <w:t>34.</w:t>
      </w:r>
      <w:r w:rsidRPr="00553B0F">
        <w:rPr>
          <w:spacing w:val="0"/>
          <w:w w:val="100"/>
        </w:rPr>
        <w:tab/>
      </w:r>
      <w:r w:rsidRPr="00553B0F">
        <w:t xml:space="preserve">Within a reasonable time frame, to be mutually agreed by the parties involved, not exceeding six months, the State party under review shall provide the responses to the self-assessment questionnaires to the reviewing States parties through the secure module of SHERLOC. </w:t>
      </w:r>
    </w:p>
    <w:p w14:paraId="7B9A6688" w14:textId="77777777" w:rsidR="00B635C0" w:rsidRPr="00553B0F" w:rsidRDefault="00B635C0" w:rsidP="00B635C0">
      <w:pPr>
        <w:pStyle w:val="SingleTxt"/>
        <w:ind w:left="1267" w:right="1267" w:hanging="1267"/>
      </w:pPr>
      <w:r>
        <w:rPr>
          <w:spacing w:val="0"/>
          <w:w w:val="100"/>
        </w:rPr>
        <w:tab/>
      </w:r>
      <w:r w:rsidRPr="00553B0F">
        <w:rPr>
          <w:spacing w:val="0"/>
          <w:w w:val="100"/>
        </w:rPr>
        <w:t>35.</w:t>
      </w:r>
      <w:r w:rsidRPr="00553B0F">
        <w:rPr>
          <w:spacing w:val="0"/>
          <w:w w:val="100"/>
        </w:rPr>
        <w:tab/>
      </w:r>
      <w:r w:rsidRPr="00553B0F">
        <w:t xml:space="preserve">Within a reasonable time frame, not exceeding six months, of the receipt of the responses to the self-assessment questionnaires from the State party under review, the reviewing States parties shall submit to the State party under review written feedback on the measures taken in the implementation of the Convention and the relevant Protocols, as well as on successes and challenges of such implementation. The feedback may also contain, where necessary, requests for clarification or additional information, or supplementary questions to which the State party under review is encouraged to respond. </w:t>
      </w:r>
      <w:bookmarkStart w:id="13" w:name="_Hlk529369700"/>
      <w:r w:rsidRPr="00553B0F">
        <w:t xml:space="preserve">A constructive dialogue between the State party under review and the reviewing States parties shall be guided by the principles and characteristics set forth in section II as well as the provisions set forth in section III, and </w:t>
      </w:r>
      <w:r>
        <w:t xml:space="preserve">a record of that dialogue </w:t>
      </w:r>
      <w:r w:rsidRPr="00553B0F">
        <w:t>shall be archived in the designated confidential module in SHERLOC.</w:t>
      </w:r>
      <w:bookmarkEnd w:id="13"/>
    </w:p>
    <w:p w14:paraId="6D5C595A" w14:textId="77777777" w:rsidR="00B635C0" w:rsidRPr="00553B0F" w:rsidRDefault="00B635C0" w:rsidP="00B635C0">
      <w:pPr>
        <w:pStyle w:val="SingleTxt"/>
        <w:ind w:left="1267" w:right="1267" w:hanging="1267"/>
      </w:pPr>
      <w:r>
        <w:rPr>
          <w:spacing w:val="0"/>
          <w:w w:val="100"/>
        </w:rPr>
        <w:tab/>
      </w:r>
      <w:r w:rsidRPr="00553B0F">
        <w:rPr>
          <w:spacing w:val="0"/>
          <w:w w:val="100"/>
        </w:rPr>
        <w:t>36.</w:t>
      </w:r>
      <w:r w:rsidRPr="00553B0F">
        <w:rPr>
          <w:spacing w:val="0"/>
          <w:w w:val="100"/>
        </w:rPr>
        <w:tab/>
      </w:r>
      <w:r w:rsidRPr="00553B0F">
        <w:t xml:space="preserve">While SHERLOC represents the primary platform of communication, as described in sections V.C and V.D of the present </w:t>
      </w:r>
      <w:r>
        <w:t>p</w:t>
      </w:r>
      <w:r w:rsidRPr="00553B0F">
        <w:t xml:space="preserve">rocedures and </w:t>
      </w:r>
      <w:r>
        <w:t>r</w:t>
      </w:r>
      <w:r w:rsidRPr="00553B0F">
        <w:t xml:space="preserve">ules, States parties participating in a review may use other available technological tools, such as virtual networks, conference calls and videoconferences, as part of their constructive dialogue. States parties are encouraged to take advantage of regularly scheduled meetings of the Conference of the Parties and its working groups to further the direct dialogue. Relevant information on such dialogues may be uploaded to the sections of SHERLOC dedicated to the ensuing dialogue between the State party under review and the reviewing States parties, in order to keep </w:t>
      </w:r>
      <w:r>
        <w:t xml:space="preserve">a </w:t>
      </w:r>
      <w:r w:rsidRPr="00553B0F">
        <w:t xml:space="preserve">record of the process. </w:t>
      </w:r>
    </w:p>
    <w:p w14:paraId="0ADCCBE8" w14:textId="77777777" w:rsidR="00B635C0" w:rsidRPr="00553B0F" w:rsidRDefault="00B635C0" w:rsidP="00B635C0">
      <w:pPr>
        <w:pStyle w:val="SingleTxt"/>
        <w:ind w:left="1267" w:right="1267" w:hanging="1267"/>
      </w:pPr>
      <w:r>
        <w:rPr>
          <w:spacing w:val="0"/>
          <w:w w:val="100"/>
        </w:rPr>
        <w:tab/>
      </w:r>
      <w:r w:rsidRPr="00553B0F">
        <w:rPr>
          <w:spacing w:val="0"/>
          <w:w w:val="100"/>
        </w:rPr>
        <w:t>37.</w:t>
      </w:r>
      <w:r w:rsidRPr="00553B0F">
        <w:rPr>
          <w:spacing w:val="0"/>
          <w:w w:val="100"/>
        </w:rPr>
        <w:tab/>
      </w:r>
      <w:r w:rsidRPr="00553B0F">
        <w:t xml:space="preserve">The reviewing States parties, their governmental experts involved in the review and the Secretariat shall maintain the confidentiality of all information obtained in the course of, or used in, the country review. On a voluntary basis, parties under review may request the Secretariat to use information provided during their reviews to populate the public elements of SHERLOC. </w:t>
      </w:r>
    </w:p>
    <w:p w14:paraId="538740A6" w14:textId="77777777" w:rsidR="00B635C0" w:rsidRPr="00553B0F" w:rsidRDefault="00B635C0" w:rsidP="00B635C0">
      <w:pPr>
        <w:pStyle w:val="SingleTxt"/>
        <w:spacing w:after="0" w:line="120" w:lineRule="atLeast"/>
        <w:ind w:hanging="1267"/>
        <w:rPr>
          <w:sz w:val="10"/>
        </w:rPr>
      </w:pPr>
    </w:p>
    <w:p w14:paraId="06C7F115" w14:textId="77777777" w:rsidR="00B635C0" w:rsidRPr="00553B0F" w:rsidRDefault="00B635C0" w:rsidP="00B635C0">
      <w:pPr>
        <w:pStyle w:val="SingleTxt"/>
        <w:spacing w:after="0" w:line="120" w:lineRule="atLeast"/>
        <w:ind w:hanging="1267"/>
        <w:rPr>
          <w:sz w:val="10"/>
        </w:rPr>
      </w:pPr>
    </w:p>
    <w:p w14:paraId="3F785EC3" w14:textId="77777777" w:rsidR="00B635C0" w:rsidRPr="00553B0F" w:rsidRDefault="00B635C0" w:rsidP="00B635C0">
      <w:pPr>
        <w:pStyle w:val="H1"/>
        <w:ind w:left="1267" w:right="1260" w:hanging="1267"/>
      </w:pPr>
      <w:r w:rsidRPr="00553B0F">
        <w:tab/>
        <w:t>E.</w:t>
      </w:r>
      <w:r w:rsidRPr="00553B0F">
        <w:tab/>
        <w:t>Outcome of the country review</w:t>
      </w:r>
    </w:p>
    <w:p w14:paraId="07D83828" w14:textId="77777777" w:rsidR="00B635C0" w:rsidRPr="00553B0F" w:rsidRDefault="00B635C0" w:rsidP="00B635C0">
      <w:pPr>
        <w:pStyle w:val="SingleTxt"/>
        <w:spacing w:after="0" w:line="120" w:lineRule="atLeast"/>
        <w:ind w:hanging="1267"/>
        <w:rPr>
          <w:sz w:val="10"/>
        </w:rPr>
      </w:pPr>
    </w:p>
    <w:p w14:paraId="0CEF1DCB" w14:textId="77777777" w:rsidR="00B635C0" w:rsidRPr="00553B0F" w:rsidRDefault="00B635C0" w:rsidP="00B635C0">
      <w:pPr>
        <w:pStyle w:val="SingleTxt"/>
        <w:spacing w:after="0" w:line="120" w:lineRule="atLeast"/>
        <w:ind w:hanging="1267"/>
        <w:rPr>
          <w:sz w:val="10"/>
        </w:rPr>
      </w:pPr>
    </w:p>
    <w:p w14:paraId="4C569E42" w14:textId="77777777" w:rsidR="00B635C0" w:rsidRPr="00553B0F" w:rsidRDefault="00B635C0" w:rsidP="00B635C0">
      <w:pPr>
        <w:pStyle w:val="SingleTxt"/>
        <w:ind w:left="1267" w:right="1267" w:hanging="1267"/>
      </w:pPr>
      <w:bookmarkStart w:id="14" w:name="_Hlk529369711"/>
      <w:r>
        <w:rPr>
          <w:spacing w:val="0"/>
          <w:w w:val="100"/>
        </w:rPr>
        <w:tab/>
      </w:r>
      <w:r w:rsidRPr="00553B0F">
        <w:rPr>
          <w:spacing w:val="0"/>
          <w:w w:val="100"/>
        </w:rPr>
        <w:t>38.</w:t>
      </w:r>
      <w:r w:rsidRPr="00553B0F">
        <w:rPr>
          <w:spacing w:val="0"/>
          <w:w w:val="100"/>
        </w:rPr>
        <w:tab/>
      </w:r>
      <w:r w:rsidRPr="00553B0F">
        <w:t>At the final stage of each review phase for each State party, the reviewing States, in close cooperation and coordination with the State party under review, and with the assistance of the Secretariat, shall prepare a list of observations indicating any gaps and challenges in the implementation of the provisions under review, best practices, suggestions and any technical assistance needs identified to improve implementation of the Convention and its Protocols.</w:t>
      </w:r>
      <w:bookmarkEnd w:id="14"/>
      <w:r w:rsidRPr="00553B0F">
        <w:t xml:space="preserve"> Such lists shall follow the blueprint format referred to in paragraph 15, be precise and concise, and be based on the responses to the self-assessment questionnaire and ensuing dialogue. </w:t>
      </w:r>
      <w:bookmarkStart w:id="15" w:name="_Hlk529369701"/>
      <w:r>
        <w:t>The list of observations</w:t>
      </w:r>
      <w:r w:rsidRPr="00553B0F">
        <w:t xml:space="preserve"> shall be made available to the working groups as a conference room paper, unless, in exceptional circumstances, the State party under review decides to keep some parts of the list confidential.</w:t>
      </w:r>
      <w:bookmarkEnd w:id="15"/>
      <w:r w:rsidRPr="00553B0F">
        <w:t xml:space="preserve"> At the end of each phase, a summary of the lists of observations, not exceeding 1,500 words and based on the same blueprint, shall be translated into the six official languages of the United Nations and be made available to the Conference and its working groups. </w:t>
      </w:r>
    </w:p>
    <w:p w14:paraId="32021595" w14:textId="77777777" w:rsidR="00B635C0" w:rsidRPr="00553B0F" w:rsidRDefault="00B635C0" w:rsidP="00B635C0">
      <w:pPr>
        <w:pStyle w:val="SingleTxt"/>
        <w:ind w:left="1267" w:right="1267" w:hanging="1267"/>
      </w:pPr>
      <w:r>
        <w:rPr>
          <w:spacing w:val="0"/>
          <w:w w:val="100"/>
        </w:rPr>
        <w:tab/>
      </w:r>
      <w:r w:rsidRPr="00553B0F">
        <w:rPr>
          <w:spacing w:val="0"/>
          <w:w w:val="100"/>
        </w:rPr>
        <w:t>39.</w:t>
      </w:r>
      <w:r w:rsidRPr="00553B0F">
        <w:rPr>
          <w:spacing w:val="0"/>
          <w:w w:val="100"/>
        </w:rPr>
        <w:tab/>
      </w:r>
      <w:r w:rsidRPr="00553B0F">
        <w:t xml:space="preserve">The list of observations, gaps, challenges, best practices, suggestions and, when necessary, technical assistance needs, and the summaries shall be finalized upon agreement between the reviewing States parties and the State party under review. </w:t>
      </w:r>
    </w:p>
    <w:p w14:paraId="1502B32C" w14:textId="77777777" w:rsidR="00B635C0" w:rsidRPr="00553B0F" w:rsidRDefault="00B635C0" w:rsidP="00B635C0">
      <w:pPr>
        <w:pStyle w:val="SingleTxt"/>
        <w:ind w:left="1267" w:right="1267" w:hanging="1267"/>
      </w:pPr>
      <w:r>
        <w:rPr>
          <w:spacing w:val="0"/>
          <w:w w:val="100"/>
        </w:rPr>
        <w:tab/>
      </w:r>
      <w:r w:rsidRPr="00553B0F">
        <w:rPr>
          <w:spacing w:val="0"/>
          <w:w w:val="100"/>
        </w:rPr>
        <w:t>40.</w:t>
      </w:r>
      <w:r w:rsidRPr="00553B0F">
        <w:rPr>
          <w:spacing w:val="0"/>
          <w:w w:val="100"/>
        </w:rPr>
        <w:tab/>
      </w:r>
      <w:r w:rsidRPr="00553B0F">
        <w:t xml:space="preserve">In order to improve and strengthen cooperation and learning among States parties, the responses to the self-assessment questionnaires submitted after the adoption of the Mechanism shall be made accessible to all States parties in the secure module of SHERLOC. </w:t>
      </w:r>
      <w:bookmarkStart w:id="16" w:name="_Hlk517683874"/>
      <w:r w:rsidRPr="00553B0F">
        <w:t>The State under review may also decide to make available the ensuing dialogue mentioned in paragraph 21 and additional documentation pertaining to its review</w:t>
      </w:r>
      <w:bookmarkEnd w:id="16"/>
      <w:r w:rsidRPr="00553B0F">
        <w:t xml:space="preserve">. </w:t>
      </w:r>
    </w:p>
    <w:p w14:paraId="23A061BF" w14:textId="77777777" w:rsidR="00B635C0" w:rsidRPr="00553B0F" w:rsidRDefault="00B635C0" w:rsidP="00B635C0">
      <w:pPr>
        <w:pStyle w:val="SingleTxt"/>
        <w:ind w:left="1267" w:right="1267" w:hanging="1267"/>
      </w:pPr>
      <w:r>
        <w:rPr>
          <w:spacing w:val="0"/>
          <w:w w:val="100"/>
        </w:rPr>
        <w:tab/>
      </w:r>
      <w:r w:rsidRPr="00553B0F">
        <w:rPr>
          <w:spacing w:val="0"/>
          <w:w w:val="100"/>
        </w:rPr>
        <w:t>41.</w:t>
      </w:r>
      <w:r w:rsidRPr="00553B0F">
        <w:rPr>
          <w:spacing w:val="0"/>
          <w:w w:val="100"/>
        </w:rPr>
        <w:tab/>
      </w:r>
      <w:r w:rsidRPr="00553B0F">
        <w:t xml:space="preserve">A State party may decide to make public the responses to its self-assessment questionnaire, ensuing dialogue and additional documentation, or part thereof, including through SHERLOC. </w:t>
      </w:r>
    </w:p>
    <w:p w14:paraId="5AD2B028" w14:textId="77777777" w:rsidR="00B635C0" w:rsidRPr="00553B0F" w:rsidRDefault="00B635C0" w:rsidP="00B635C0">
      <w:pPr>
        <w:pStyle w:val="SingleTxt"/>
        <w:ind w:left="1267" w:right="1267" w:hanging="1267"/>
      </w:pPr>
      <w:r>
        <w:rPr>
          <w:spacing w:val="0"/>
          <w:w w:val="100"/>
        </w:rPr>
        <w:tab/>
      </w:r>
      <w:r w:rsidRPr="00553B0F">
        <w:rPr>
          <w:spacing w:val="0"/>
          <w:w w:val="100"/>
        </w:rPr>
        <w:t>42.</w:t>
      </w:r>
      <w:r w:rsidRPr="00553B0F">
        <w:rPr>
          <w:spacing w:val="0"/>
          <w:w w:val="100"/>
        </w:rPr>
        <w:tab/>
      </w:r>
      <w:r w:rsidRPr="00553B0F">
        <w:t xml:space="preserve">After the submission of the responses to the questionnaires, a State party under review may, on a voluntary basis, share its good practices and experiences with regard to the exercise of completing the questionnaires. </w:t>
      </w:r>
    </w:p>
    <w:p w14:paraId="5FBCCB37" w14:textId="77777777" w:rsidR="00B635C0" w:rsidRPr="00553B0F" w:rsidRDefault="00B635C0" w:rsidP="00B635C0">
      <w:pPr>
        <w:pStyle w:val="SingleTxt"/>
        <w:spacing w:after="0" w:line="120" w:lineRule="atLeast"/>
        <w:ind w:hanging="1267"/>
        <w:rPr>
          <w:sz w:val="10"/>
        </w:rPr>
      </w:pPr>
    </w:p>
    <w:p w14:paraId="68CCF144" w14:textId="77777777" w:rsidR="00B635C0" w:rsidRPr="00553B0F" w:rsidRDefault="00B635C0" w:rsidP="00B635C0">
      <w:pPr>
        <w:pStyle w:val="SingleTxt"/>
        <w:spacing w:after="0" w:line="120" w:lineRule="atLeast"/>
        <w:ind w:hanging="1267"/>
        <w:rPr>
          <w:sz w:val="10"/>
        </w:rPr>
      </w:pPr>
    </w:p>
    <w:p w14:paraId="1950BA50" w14:textId="77777777" w:rsidR="00B635C0" w:rsidRPr="00553B0F" w:rsidRDefault="00B635C0" w:rsidP="00B635C0">
      <w:pPr>
        <w:pStyle w:val="H1"/>
        <w:ind w:left="1267" w:right="1260" w:hanging="1267"/>
      </w:pPr>
      <w:r w:rsidRPr="00553B0F">
        <w:tab/>
        <w:t>F.</w:t>
      </w:r>
      <w:r w:rsidRPr="00553B0F">
        <w:tab/>
        <w:t>Follow-up procedures</w:t>
      </w:r>
    </w:p>
    <w:p w14:paraId="49084529" w14:textId="77777777" w:rsidR="00B635C0" w:rsidRPr="00553B0F" w:rsidRDefault="00B635C0" w:rsidP="00B635C0">
      <w:pPr>
        <w:pStyle w:val="SingleTxt"/>
        <w:spacing w:after="0" w:line="120" w:lineRule="atLeast"/>
        <w:ind w:hanging="1267"/>
        <w:rPr>
          <w:sz w:val="10"/>
        </w:rPr>
      </w:pPr>
    </w:p>
    <w:p w14:paraId="5D521547" w14:textId="77777777" w:rsidR="00B635C0" w:rsidRPr="00553B0F" w:rsidRDefault="00B635C0" w:rsidP="00B635C0">
      <w:pPr>
        <w:pStyle w:val="SingleTxt"/>
        <w:spacing w:after="0" w:line="120" w:lineRule="atLeast"/>
        <w:ind w:hanging="1267"/>
        <w:rPr>
          <w:sz w:val="10"/>
        </w:rPr>
      </w:pPr>
    </w:p>
    <w:p w14:paraId="31072766" w14:textId="77777777" w:rsidR="00B635C0" w:rsidRPr="00553B0F" w:rsidRDefault="00B635C0" w:rsidP="00B635C0">
      <w:pPr>
        <w:pStyle w:val="SingleTxt"/>
        <w:ind w:left="1267" w:right="1267" w:hanging="1267"/>
      </w:pPr>
      <w:r>
        <w:rPr>
          <w:spacing w:val="0"/>
          <w:w w:val="100"/>
        </w:rPr>
        <w:tab/>
      </w:r>
      <w:r w:rsidRPr="00553B0F">
        <w:rPr>
          <w:spacing w:val="0"/>
          <w:w w:val="100"/>
        </w:rPr>
        <w:t>43.</w:t>
      </w:r>
      <w:r w:rsidRPr="00553B0F">
        <w:rPr>
          <w:spacing w:val="0"/>
          <w:w w:val="100"/>
        </w:rPr>
        <w:tab/>
      </w:r>
      <w:r w:rsidRPr="00553B0F">
        <w:t xml:space="preserve">The working groups of the Conference shall draw upon the lists of observations mentioned in paragraph 38 in preparing their sessions, and take them into account when proposing generally applicable recommendations to the Conference. </w:t>
      </w:r>
    </w:p>
    <w:p w14:paraId="7A7F4F64" w14:textId="77777777" w:rsidR="00B635C0" w:rsidRPr="00553B0F" w:rsidRDefault="00B635C0" w:rsidP="00B635C0">
      <w:pPr>
        <w:pStyle w:val="SingleTxt"/>
        <w:ind w:left="1267" w:right="1267" w:hanging="1267"/>
      </w:pPr>
      <w:r>
        <w:rPr>
          <w:spacing w:val="0"/>
          <w:w w:val="100"/>
        </w:rPr>
        <w:tab/>
      </w:r>
      <w:r w:rsidRPr="00553B0F">
        <w:rPr>
          <w:spacing w:val="0"/>
          <w:w w:val="100"/>
        </w:rPr>
        <w:t>44.</w:t>
      </w:r>
      <w:r w:rsidRPr="00553B0F">
        <w:rPr>
          <w:spacing w:val="0"/>
          <w:w w:val="100"/>
        </w:rPr>
        <w:tab/>
      </w:r>
      <w:r w:rsidRPr="00553B0F">
        <w:t xml:space="preserve">The Working Group of Government Experts on Technical Assistance shall consider the technical assistance needs identified during the review process and make recommendations to the Conference of the Parties on how to assist States parties in their efforts to implement the Convention and the Protocols. As appropriate, States parties shall also provide information to the Working Group on whether technical assistance needs identified in relation to their review reports have been addressed. </w:t>
      </w:r>
    </w:p>
    <w:p w14:paraId="01159948" w14:textId="77777777" w:rsidR="00B635C0" w:rsidRPr="00553B0F" w:rsidRDefault="00B635C0" w:rsidP="00B635C0">
      <w:pPr>
        <w:pStyle w:val="SingleTxt"/>
        <w:ind w:left="1267" w:right="1267" w:hanging="1267"/>
      </w:pPr>
      <w:r>
        <w:rPr>
          <w:spacing w:val="0"/>
          <w:w w:val="100"/>
        </w:rPr>
        <w:tab/>
      </w:r>
      <w:r w:rsidRPr="00553B0F">
        <w:rPr>
          <w:spacing w:val="0"/>
          <w:w w:val="100"/>
        </w:rPr>
        <w:t>45.</w:t>
      </w:r>
      <w:r w:rsidRPr="00553B0F">
        <w:rPr>
          <w:spacing w:val="0"/>
          <w:w w:val="100"/>
        </w:rPr>
        <w:tab/>
      </w:r>
      <w:r w:rsidRPr="00553B0F">
        <w:t xml:space="preserve">As a follow-up to its review, a State party may request technical assistance based on the specific needs identified in the review process with a view to improving the capacity of the State party to effectively implement the Convention and the Protocols thereto. The Secretariat shall endeavour to seek voluntary contributions for these purposes, in accordance with the rules and procedures of the United Nations. </w:t>
      </w:r>
    </w:p>
    <w:p w14:paraId="34A60CA4" w14:textId="77777777" w:rsidR="00B635C0" w:rsidRDefault="00B635C0" w:rsidP="00B635C0">
      <w:pPr>
        <w:pStyle w:val="SingleTxt"/>
        <w:ind w:left="1267" w:right="1267" w:hanging="1267"/>
      </w:pPr>
      <w:r>
        <w:rPr>
          <w:spacing w:val="0"/>
          <w:w w:val="100"/>
        </w:rPr>
        <w:tab/>
      </w:r>
      <w:r w:rsidRPr="00553B0F">
        <w:rPr>
          <w:spacing w:val="0"/>
          <w:w w:val="100"/>
        </w:rPr>
        <w:t>46.</w:t>
      </w:r>
      <w:r w:rsidRPr="00553B0F">
        <w:rPr>
          <w:spacing w:val="0"/>
          <w:w w:val="100"/>
        </w:rPr>
        <w:tab/>
      </w:r>
      <w:r w:rsidRPr="00553B0F">
        <w:t>As a follow-up to its review, each State party is encouraged to share with the Conference and the relevant working groups information on progress achieved in connection with the lists mentioned in paragraph 38 and on any measures planned or undertaken. Additionally, each State party may wish to upload to SHERLOC information on progress achieved. At the end of the review, the Conference may consider further means to report on progress achieved.</w:t>
      </w:r>
    </w:p>
    <w:p w14:paraId="096054BC" w14:textId="77777777" w:rsidR="00B635C0" w:rsidRPr="00553B0F" w:rsidRDefault="00B635C0" w:rsidP="00B635C0">
      <w:pPr>
        <w:pStyle w:val="SingleTxt"/>
        <w:spacing w:after="0" w:line="120" w:lineRule="atLeast"/>
        <w:ind w:hanging="1267"/>
        <w:rPr>
          <w:sz w:val="10"/>
        </w:rPr>
      </w:pPr>
    </w:p>
    <w:p w14:paraId="4F9F5396" w14:textId="77777777" w:rsidR="00B635C0" w:rsidRPr="00553B0F" w:rsidRDefault="00B635C0" w:rsidP="00B635C0">
      <w:pPr>
        <w:pStyle w:val="SingleTxt"/>
        <w:spacing w:after="0" w:line="120" w:lineRule="atLeast"/>
        <w:ind w:hanging="1267"/>
        <w:rPr>
          <w:sz w:val="10"/>
        </w:rPr>
      </w:pPr>
    </w:p>
    <w:p w14:paraId="2E56908A" w14:textId="77777777" w:rsidR="00B635C0" w:rsidRPr="00553B0F" w:rsidRDefault="00B635C0" w:rsidP="00B635C0">
      <w:pPr>
        <w:pStyle w:val="HCh"/>
        <w:ind w:left="1267" w:right="1260" w:hanging="1267"/>
      </w:pPr>
      <w:r w:rsidRPr="00553B0F">
        <w:tab/>
        <w:t>VI.</w:t>
      </w:r>
      <w:r w:rsidRPr="00553B0F">
        <w:tab/>
        <w:t xml:space="preserve">Secretariat </w:t>
      </w:r>
    </w:p>
    <w:p w14:paraId="49F3B8F4" w14:textId="77777777" w:rsidR="00B635C0" w:rsidRDefault="00B635C0" w:rsidP="00B635C0">
      <w:pPr>
        <w:pStyle w:val="SingleTxt"/>
        <w:spacing w:after="0" w:line="120" w:lineRule="atLeast"/>
        <w:ind w:hanging="1267"/>
        <w:rPr>
          <w:sz w:val="10"/>
        </w:rPr>
      </w:pPr>
    </w:p>
    <w:p w14:paraId="260B32AC" w14:textId="77777777" w:rsidR="00B635C0" w:rsidRPr="00553B0F" w:rsidRDefault="00B635C0" w:rsidP="00B635C0">
      <w:pPr>
        <w:pStyle w:val="SingleTxt"/>
        <w:spacing w:after="0" w:line="120" w:lineRule="atLeast"/>
        <w:ind w:hanging="1267"/>
        <w:rPr>
          <w:sz w:val="10"/>
        </w:rPr>
      </w:pPr>
    </w:p>
    <w:p w14:paraId="16A3B5A5" w14:textId="77777777" w:rsidR="00B635C0" w:rsidRPr="00553B0F" w:rsidRDefault="00B635C0" w:rsidP="00B635C0">
      <w:pPr>
        <w:pStyle w:val="SingleTxt"/>
        <w:ind w:left="1267" w:right="1267" w:hanging="1267"/>
      </w:pPr>
      <w:r>
        <w:rPr>
          <w:spacing w:val="0"/>
          <w:w w:val="100"/>
        </w:rPr>
        <w:tab/>
      </w:r>
      <w:r w:rsidRPr="00553B0F">
        <w:rPr>
          <w:spacing w:val="0"/>
          <w:w w:val="100"/>
        </w:rPr>
        <w:t>47.</w:t>
      </w:r>
      <w:r w:rsidRPr="00553B0F">
        <w:rPr>
          <w:spacing w:val="0"/>
          <w:w w:val="100"/>
        </w:rPr>
        <w:tab/>
      </w:r>
      <w:r w:rsidRPr="00553B0F">
        <w:t xml:space="preserve">The Secretariat of the Conference shall be the Secretariat of the Mechanism. The tasks performed by the Secretariat are those indicated in the present </w:t>
      </w:r>
      <w:r>
        <w:t>p</w:t>
      </w:r>
      <w:r w:rsidRPr="00553B0F">
        <w:t xml:space="preserve">rocedures and </w:t>
      </w:r>
      <w:r>
        <w:t>r</w:t>
      </w:r>
      <w:r w:rsidRPr="00553B0F">
        <w:t xml:space="preserve">ules. </w:t>
      </w:r>
    </w:p>
    <w:p w14:paraId="217C4785" w14:textId="77777777" w:rsidR="00B635C0" w:rsidRPr="00553B0F" w:rsidRDefault="00B635C0" w:rsidP="00B635C0">
      <w:pPr>
        <w:pStyle w:val="SingleTxt"/>
        <w:ind w:left="1267" w:right="1267" w:hanging="1267"/>
      </w:pPr>
      <w:r>
        <w:rPr>
          <w:spacing w:val="0"/>
          <w:w w:val="100"/>
        </w:rPr>
        <w:tab/>
      </w:r>
      <w:r w:rsidRPr="00553B0F">
        <w:rPr>
          <w:spacing w:val="0"/>
          <w:w w:val="100"/>
        </w:rPr>
        <w:t>48.</w:t>
      </w:r>
      <w:r w:rsidRPr="00553B0F">
        <w:rPr>
          <w:spacing w:val="0"/>
          <w:w w:val="100"/>
        </w:rPr>
        <w:tab/>
      </w:r>
      <w:r w:rsidRPr="00553B0F">
        <w:t xml:space="preserve">In addition to its tasks provided in paragraph 47, if necessary, the Secretariat may also, upon request and within existing resources of the Mechanism, provide support and assistance to States parties in the conduct of the Mechanism in accordance with the relevant rules and procedures of the United Nations. The tasks envisioned shall not produce an undue burden on the Secretariat or replace tasks that are meant to be carried out by States parties. </w:t>
      </w:r>
    </w:p>
    <w:p w14:paraId="37D08538" w14:textId="77777777" w:rsidR="00B635C0" w:rsidRPr="00553B0F" w:rsidRDefault="00B635C0" w:rsidP="00B635C0">
      <w:pPr>
        <w:pStyle w:val="SingleTxt"/>
        <w:spacing w:after="0" w:line="120" w:lineRule="atLeast"/>
        <w:ind w:hanging="1267"/>
        <w:rPr>
          <w:sz w:val="10"/>
        </w:rPr>
      </w:pPr>
    </w:p>
    <w:p w14:paraId="55938F42" w14:textId="77777777" w:rsidR="00B635C0" w:rsidRPr="00553B0F" w:rsidRDefault="00B635C0" w:rsidP="00B635C0">
      <w:pPr>
        <w:pStyle w:val="HCh"/>
        <w:ind w:left="1267" w:right="1260" w:hanging="1267"/>
      </w:pPr>
      <w:r w:rsidRPr="00553B0F">
        <w:tab/>
        <w:t>VII.</w:t>
      </w:r>
      <w:r w:rsidRPr="00553B0F">
        <w:tab/>
        <w:t>Languages</w:t>
      </w:r>
    </w:p>
    <w:p w14:paraId="18EBAF9F" w14:textId="77777777" w:rsidR="00B635C0" w:rsidRPr="00553B0F" w:rsidRDefault="00B635C0" w:rsidP="00B635C0">
      <w:pPr>
        <w:pStyle w:val="SingleTxt"/>
        <w:spacing w:after="0" w:line="120" w:lineRule="atLeast"/>
        <w:ind w:hanging="1267"/>
        <w:rPr>
          <w:sz w:val="10"/>
        </w:rPr>
      </w:pPr>
    </w:p>
    <w:p w14:paraId="24BD15AB" w14:textId="77777777" w:rsidR="00B635C0" w:rsidRPr="00553B0F" w:rsidRDefault="00B635C0" w:rsidP="00B635C0">
      <w:pPr>
        <w:pStyle w:val="SingleTxt"/>
        <w:spacing w:after="0" w:line="120" w:lineRule="atLeast"/>
        <w:ind w:hanging="1267"/>
        <w:rPr>
          <w:sz w:val="10"/>
        </w:rPr>
      </w:pPr>
    </w:p>
    <w:p w14:paraId="04F50FBA" w14:textId="77777777" w:rsidR="00B635C0" w:rsidRPr="00553B0F" w:rsidRDefault="00B635C0" w:rsidP="00B635C0">
      <w:pPr>
        <w:pStyle w:val="SingleTxt"/>
        <w:ind w:left="1267" w:right="1267" w:hanging="1267"/>
      </w:pPr>
      <w:r>
        <w:rPr>
          <w:spacing w:val="0"/>
          <w:w w:val="100"/>
        </w:rPr>
        <w:tab/>
      </w:r>
      <w:r w:rsidRPr="00553B0F">
        <w:rPr>
          <w:spacing w:val="0"/>
          <w:w w:val="100"/>
        </w:rPr>
        <w:t>49.</w:t>
      </w:r>
      <w:r w:rsidRPr="00553B0F">
        <w:rPr>
          <w:spacing w:val="0"/>
          <w:w w:val="100"/>
        </w:rPr>
        <w:tab/>
      </w:r>
      <w:r w:rsidRPr="00553B0F">
        <w:t xml:space="preserve">The working languages of the Mechanism shall be Arabic, Chinese, English, French, Russian and Spanish. </w:t>
      </w:r>
    </w:p>
    <w:p w14:paraId="4868F470" w14:textId="77777777" w:rsidR="00B635C0" w:rsidRPr="00553B0F" w:rsidRDefault="00B635C0" w:rsidP="00B635C0">
      <w:pPr>
        <w:pStyle w:val="SingleTxt"/>
        <w:ind w:left="1267" w:right="1267" w:hanging="1267"/>
      </w:pPr>
      <w:r>
        <w:rPr>
          <w:spacing w:val="0"/>
          <w:w w:val="100"/>
        </w:rPr>
        <w:tab/>
      </w:r>
      <w:r w:rsidRPr="00553B0F">
        <w:rPr>
          <w:spacing w:val="0"/>
          <w:w w:val="100"/>
        </w:rPr>
        <w:t>50.</w:t>
      </w:r>
      <w:r w:rsidRPr="00553B0F">
        <w:rPr>
          <w:spacing w:val="0"/>
          <w:w w:val="100"/>
        </w:rPr>
        <w:tab/>
      </w:r>
      <w:r w:rsidRPr="00553B0F">
        <w:t>The country review process may be conducted in any one or two of the working languages of the Mechanism that may be decided upon by the State party under review and the reviewing States parties. In exceptional circumstances, the review process may be conducted in three working languages. The Secretariat shall be responsible for providing the required translation as necessary for the efficient functioning of the Mechanism. The States parties are encouraged to conduct the review in only one of the working languages of the Mechanism.</w:t>
      </w:r>
    </w:p>
    <w:p w14:paraId="7D764A6B" w14:textId="77777777" w:rsidR="00B635C0" w:rsidRPr="00553B0F" w:rsidRDefault="00B635C0" w:rsidP="00B635C0">
      <w:pPr>
        <w:pStyle w:val="SingleTxt"/>
        <w:ind w:left="1267" w:right="1267" w:hanging="1267"/>
      </w:pPr>
      <w:r>
        <w:rPr>
          <w:spacing w:val="0"/>
          <w:w w:val="100"/>
        </w:rPr>
        <w:tab/>
      </w:r>
      <w:r w:rsidRPr="00553B0F">
        <w:rPr>
          <w:spacing w:val="0"/>
          <w:w w:val="100"/>
        </w:rPr>
        <w:t>51.</w:t>
      </w:r>
      <w:r w:rsidRPr="00553B0F">
        <w:rPr>
          <w:spacing w:val="0"/>
          <w:w w:val="100"/>
        </w:rPr>
        <w:tab/>
      </w:r>
      <w:r w:rsidRPr="00553B0F">
        <w:t xml:space="preserve">States parties may provide for assistance to other States parties that need translation into languages other than the six working languages of the Mechanism through monetary or in-kind contributions. Particular attention should be given to requests from least developed countries and developing countries. </w:t>
      </w:r>
    </w:p>
    <w:p w14:paraId="3E11F3FE" w14:textId="77777777" w:rsidR="00B635C0" w:rsidRPr="00553B0F" w:rsidRDefault="00B635C0" w:rsidP="00B635C0">
      <w:pPr>
        <w:pStyle w:val="SingleTxt"/>
        <w:spacing w:after="0" w:line="120" w:lineRule="atLeast"/>
        <w:ind w:hanging="1267"/>
        <w:rPr>
          <w:sz w:val="10"/>
        </w:rPr>
      </w:pPr>
    </w:p>
    <w:p w14:paraId="51CA1A55" w14:textId="77777777" w:rsidR="00B635C0" w:rsidRPr="00553B0F" w:rsidRDefault="00B635C0" w:rsidP="00B635C0">
      <w:pPr>
        <w:pStyle w:val="HCh"/>
        <w:ind w:left="1267" w:right="1260" w:hanging="1267"/>
      </w:pPr>
      <w:r w:rsidRPr="00553B0F">
        <w:tab/>
        <w:t>VIII.</w:t>
      </w:r>
      <w:r w:rsidRPr="00553B0F">
        <w:tab/>
        <w:t>Participation of signatories to the Convention or any of the Protocols in the Mechanism</w:t>
      </w:r>
    </w:p>
    <w:p w14:paraId="51611E85" w14:textId="77777777" w:rsidR="00B635C0" w:rsidRPr="00553B0F" w:rsidRDefault="00B635C0" w:rsidP="00B635C0">
      <w:pPr>
        <w:pStyle w:val="SingleTxt"/>
        <w:spacing w:after="0" w:line="120" w:lineRule="atLeast"/>
        <w:ind w:hanging="1267"/>
        <w:rPr>
          <w:sz w:val="10"/>
        </w:rPr>
      </w:pPr>
    </w:p>
    <w:p w14:paraId="15DCC6E2" w14:textId="77777777" w:rsidR="00B635C0" w:rsidRPr="00553B0F" w:rsidRDefault="00B635C0" w:rsidP="00B635C0">
      <w:pPr>
        <w:pStyle w:val="SingleTxt"/>
        <w:spacing w:after="0" w:line="120" w:lineRule="atLeast"/>
        <w:ind w:hanging="1267"/>
        <w:rPr>
          <w:sz w:val="10"/>
        </w:rPr>
      </w:pPr>
    </w:p>
    <w:p w14:paraId="51C69B86" w14:textId="77777777" w:rsidR="00B635C0" w:rsidRPr="00553B0F" w:rsidRDefault="00B635C0" w:rsidP="00B635C0">
      <w:pPr>
        <w:pStyle w:val="SingleTxt"/>
        <w:ind w:left="1267" w:right="1267" w:hanging="1267"/>
      </w:pPr>
      <w:r>
        <w:rPr>
          <w:spacing w:val="0"/>
          <w:w w:val="100"/>
        </w:rPr>
        <w:tab/>
      </w:r>
      <w:r w:rsidRPr="00553B0F">
        <w:rPr>
          <w:spacing w:val="0"/>
          <w:w w:val="100"/>
        </w:rPr>
        <w:t>52.</w:t>
      </w:r>
      <w:r w:rsidRPr="00553B0F">
        <w:rPr>
          <w:spacing w:val="0"/>
          <w:w w:val="100"/>
        </w:rPr>
        <w:tab/>
      </w:r>
      <w:r w:rsidRPr="00553B0F">
        <w:t xml:space="preserve">A State signatory to the Convention or any of the Protocols may participate in the Mechanism as a State under review on a voluntary basis. The costs associated with such participation shall be paid from available voluntary contributions. </w:t>
      </w:r>
    </w:p>
    <w:p w14:paraId="4B495233" w14:textId="77777777" w:rsidR="00B635C0" w:rsidRPr="00553B0F" w:rsidRDefault="00B635C0" w:rsidP="00B635C0">
      <w:pPr>
        <w:pStyle w:val="SingleTxt"/>
        <w:spacing w:after="0" w:line="120" w:lineRule="atLeast"/>
        <w:ind w:hanging="1267"/>
        <w:rPr>
          <w:sz w:val="10"/>
        </w:rPr>
      </w:pPr>
    </w:p>
    <w:p w14:paraId="56E3454B" w14:textId="77777777" w:rsidR="00B635C0" w:rsidRPr="00553B0F" w:rsidRDefault="00B635C0" w:rsidP="00B635C0">
      <w:pPr>
        <w:pStyle w:val="SingleTxt"/>
        <w:spacing w:after="0" w:line="120" w:lineRule="atLeast"/>
        <w:ind w:hanging="1267"/>
        <w:rPr>
          <w:sz w:val="10"/>
        </w:rPr>
      </w:pPr>
    </w:p>
    <w:p w14:paraId="67E6351F" w14:textId="77777777" w:rsidR="00B635C0" w:rsidRPr="00553B0F" w:rsidRDefault="00B635C0" w:rsidP="00B635C0">
      <w:pPr>
        <w:pStyle w:val="HCh"/>
        <w:ind w:left="1267" w:right="1260" w:hanging="1267"/>
      </w:pPr>
      <w:r w:rsidRPr="00553B0F">
        <w:tab/>
        <w:t>IX.</w:t>
      </w:r>
      <w:r w:rsidRPr="00553B0F">
        <w:tab/>
      </w:r>
      <w:r w:rsidRPr="00553B0F">
        <w:rPr>
          <w:bCs/>
        </w:rPr>
        <w:t xml:space="preserve">Signatories, </w:t>
      </w:r>
      <w:r w:rsidRPr="00553B0F">
        <w:t xml:space="preserve">non-signatories, entities, intergovernmental organizations and non-governmental organizations and the Mechanism </w:t>
      </w:r>
    </w:p>
    <w:p w14:paraId="0590CF2A" w14:textId="77777777" w:rsidR="00B635C0" w:rsidRPr="00553B0F" w:rsidRDefault="00B635C0" w:rsidP="00B635C0">
      <w:pPr>
        <w:pStyle w:val="SingleTxt"/>
        <w:spacing w:after="0" w:line="120" w:lineRule="atLeast"/>
        <w:ind w:hanging="1267"/>
        <w:rPr>
          <w:sz w:val="10"/>
        </w:rPr>
      </w:pPr>
    </w:p>
    <w:p w14:paraId="1F683D20" w14:textId="77777777" w:rsidR="00B635C0" w:rsidRPr="00553B0F" w:rsidRDefault="00B635C0" w:rsidP="00B635C0">
      <w:pPr>
        <w:pStyle w:val="SingleTxt"/>
        <w:ind w:left="1267" w:right="1267" w:hanging="1267"/>
      </w:pPr>
      <w:bookmarkStart w:id="17" w:name="_Hlk529369702"/>
      <w:r>
        <w:rPr>
          <w:spacing w:val="0"/>
          <w:w w:val="100"/>
        </w:rPr>
        <w:tab/>
      </w:r>
      <w:r w:rsidRPr="00553B0F">
        <w:rPr>
          <w:spacing w:val="0"/>
          <w:w w:val="100"/>
        </w:rPr>
        <w:t>53.</w:t>
      </w:r>
      <w:r w:rsidRPr="00553B0F">
        <w:rPr>
          <w:spacing w:val="0"/>
          <w:w w:val="100"/>
        </w:rPr>
        <w:tab/>
      </w:r>
      <w:r w:rsidRPr="00553B0F">
        <w:t xml:space="preserve">In order to promote fruitful engagement with relevant stakeholders, including non-governmental organizations, and in accordance with article 32, paragraph 3 (c), of the Convention, the working groups shall have a constructive dialogue on the review process with relevant stakeholders, including non-governmental organizations, </w:t>
      </w:r>
      <w:r>
        <w:t>as follows</w:t>
      </w:r>
      <w:r w:rsidRPr="00553B0F">
        <w:t>:</w:t>
      </w:r>
      <w:bookmarkEnd w:id="17"/>
    </w:p>
    <w:p w14:paraId="7CFDB74F" w14:textId="77777777" w:rsidR="00B635C0" w:rsidRPr="00553B0F" w:rsidRDefault="00B635C0" w:rsidP="00B635C0">
      <w:pPr>
        <w:pStyle w:val="SingleTxt"/>
        <w:ind w:hanging="1267"/>
      </w:pPr>
      <w:r w:rsidRPr="00553B0F">
        <w:tab/>
      </w:r>
      <w:r w:rsidRPr="00553B0F">
        <w:tab/>
        <w:t>(a)</w:t>
      </w:r>
      <w:r w:rsidRPr="00553B0F">
        <w:tab/>
        <w:t>As a regular practice, constructive dialogues will be convened with relevant stakeholders following the conclusion of the sessions of the working groups and the adoption of the reports. The constructive dialogue shall be conducted by the chair of the working group, assisted by the Secretariat. A panel with representatives of relevant stakeholders, including non-governmental organizations, may be arranged with the assistance of the United Nations Office on Drugs and Crime. The Office shall also endeavour to encourage broad participation and facilitate balanced geographical representation of the non-governmental organizations in these constructive dialogues;</w:t>
      </w:r>
    </w:p>
    <w:p w14:paraId="2C6E44DE" w14:textId="77777777" w:rsidR="00B635C0" w:rsidRPr="00553B0F" w:rsidRDefault="00B635C0" w:rsidP="00B635C0">
      <w:pPr>
        <w:pStyle w:val="SingleTxt"/>
        <w:ind w:hanging="1267"/>
      </w:pPr>
      <w:r w:rsidRPr="00553B0F">
        <w:tab/>
      </w:r>
      <w:r w:rsidRPr="00553B0F">
        <w:tab/>
        <w:t>(b)</w:t>
      </w:r>
      <w:r w:rsidRPr="00553B0F">
        <w:tab/>
        <w:t xml:space="preserve">No specific country situation shall be mentioned during the constructive dialogues except by the country under review, which may voluntarily raise matters related solely to its own review; </w:t>
      </w:r>
    </w:p>
    <w:p w14:paraId="1D54B32B" w14:textId="77777777" w:rsidR="00B635C0" w:rsidRPr="00553B0F" w:rsidRDefault="00B635C0" w:rsidP="00B635C0">
      <w:pPr>
        <w:pStyle w:val="SingleTxt"/>
        <w:ind w:hanging="1267"/>
      </w:pPr>
      <w:r w:rsidRPr="00553B0F">
        <w:tab/>
      </w:r>
      <w:r w:rsidRPr="00553B0F">
        <w:tab/>
        <w:t>(c)</w:t>
      </w:r>
      <w:r w:rsidRPr="00553B0F">
        <w:tab/>
        <w:t xml:space="preserve">The constructive dialogue shall also be open to States parties and signatories, non-signatories, entities and intergovernmental organizations; </w:t>
      </w:r>
    </w:p>
    <w:p w14:paraId="556A4D24" w14:textId="77777777" w:rsidR="00B635C0" w:rsidRPr="00553B0F" w:rsidRDefault="00B635C0" w:rsidP="00B635C0">
      <w:pPr>
        <w:pStyle w:val="SingleTxt"/>
        <w:ind w:hanging="1267"/>
      </w:pPr>
      <w:r w:rsidRPr="00553B0F">
        <w:tab/>
      </w:r>
      <w:r w:rsidRPr="00553B0F">
        <w:tab/>
        <w:t>(d)</w:t>
      </w:r>
      <w:r w:rsidRPr="00553B0F">
        <w:tab/>
        <w:t xml:space="preserve">Non-governmental organizations wishing to attend the constructive dialogue shall confirm their attendance no later than 15 days prior to the date </w:t>
      </w:r>
      <w:r w:rsidRPr="00553B0F">
        <w:br/>
        <w:t xml:space="preserve">of the dialogue, at which time they will be allowed to provide comments in writing. A list of such applicants will be circulated to States parties no later than 10 days </w:t>
      </w:r>
      <w:r w:rsidRPr="00553B0F">
        <w:br/>
        <w:t xml:space="preserve">before the constructive dialogue. If there is any objection to the participation of a </w:t>
      </w:r>
      <w:r w:rsidRPr="00553B0F">
        <w:br/>
        <w:t>non-governmental organization, the matter will be referred to the Bureau of the Conference;</w:t>
      </w:r>
    </w:p>
    <w:p w14:paraId="6A1E33B8" w14:textId="77777777" w:rsidR="00B635C0" w:rsidRPr="00553B0F" w:rsidRDefault="00B635C0" w:rsidP="00B635C0">
      <w:pPr>
        <w:pStyle w:val="SingleTxt"/>
        <w:ind w:hanging="1267"/>
      </w:pPr>
      <w:r w:rsidRPr="00553B0F">
        <w:tab/>
      </w:r>
      <w:r w:rsidRPr="00553B0F">
        <w:tab/>
        <w:t>(e)</w:t>
      </w:r>
      <w:r w:rsidRPr="00553B0F">
        <w:tab/>
        <w:t>Other relevant stakeholders, including representatives of the private sector and academia, may also apply to participate, provided that applications are submitted at least 15 days before the constructive dialogue, at which time they will be allowed to provide comments in writing. A list of such applicants will be circulated to States parties no later than 10 days prior to the constructive dialogue, and the requests should be approved provided that no State party objects;</w:t>
      </w:r>
    </w:p>
    <w:p w14:paraId="23B30B4A" w14:textId="77777777" w:rsidR="00B635C0" w:rsidRPr="00553B0F" w:rsidRDefault="00B635C0" w:rsidP="00B635C0">
      <w:pPr>
        <w:pStyle w:val="SingleTxt"/>
        <w:ind w:hanging="1267"/>
      </w:pPr>
      <w:r w:rsidRPr="00553B0F">
        <w:tab/>
      </w:r>
      <w:r w:rsidRPr="00553B0F">
        <w:tab/>
        <w:t>(f)</w:t>
      </w:r>
      <w:r w:rsidRPr="00553B0F">
        <w:tab/>
        <w:t xml:space="preserve">The chair of the working group may decide not to convene the constructive dialogue if insufficient applications are received by the deadlines set out in subparagraphs (d) and (e) above; </w:t>
      </w:r>
    </w:p>
    <w:p w14:paraId="26C4C983" w14:textId="77777777" w:rsidR="00B635C0" w:rsidRPr="00553B0F" w:rsidRDefault="00B635C0" w:rsidP="00B635C0">
      <w:pPr>
        <w:pStyle w:val="SingleTxt"/>
        <w:ind w:hanging="1267"/>
      </w:pPr>
      <w:r w:rsidRPr="00553B0F">
        <w:tab/>
      </w:r>
      <w:r w:rsidRPr="00553B0F">
        <w:tab/>
        <w:t>(g)</w:t>
      </w:r>
      <w:r w:rsidRPr="00553B0F">
        <w:tab/>
        <w:t xml:space="preserve">The Secretariat will prepare a programme for the constructive dialogue and background papers to facilitate the engagement of participants; </w:t>
      </w:r>
    </w:p>
    <w:p w14:paraId="66735FD5" w14:textId="77777777" w:rsidR="00B635C0" w:rsidRPr="00553B0F" w:rsidRDefault="00B635C0" w:rsidP="00B635C0">
      <w:pPr>
        <w:pStyle w:val="SingleTxt"/>
        <w:ind w:hanging="1267"/>
      </w:pPr>
      <w:r w:rsidRPr="00553B0F">
        <w:tab/>
      </w:r>
      <w:r w:rsidRPr="00553B0F">
        <w:tab/>
        <w:t>(h)</w:t>
      </w:r>
      <w:r w:rsidRPr="00553B0F">
        <w:tab/>
        <w:t xml:space="preserve">A written summary of the discussions will be prepared by the chair of the working group and be made available to the working group at its next session; </w:t>
      </w:r>
    </w:p>
    <w:p w14:paraId="733065E3" w14:textId="77777777" w:rsidR="00B635C0" w:rsidRPr="00553B0F" w:rsidRDefault="00B635C0" w:rsidP="00B635C0">
      <w:pPr>
        <w:pStyle w:val="SingleTxt"/>
        <w:ind w:hanging="1267"/>
      </w:pPr>
      <w:r w:rsidRPr="00553B0F">
        <w:tab/>
      </w:r>
      <w:r w:rsidRPr="00553B0F">
        <w:tab/>
        <w:t>(</w:t>
      </w:r>
      <w:proofErr w:type="spellStart"/>
      <w:r w:rsidRPr="00553B0F">
        <w:t>i</w:t>
      </w:r>
      <w:proofErr w:type="spellEnd"/>
      <w:r w:rsidRPr="00553B0F">
        <w:t>)</w:t>
      </w:r>
      <w:r w:rsidRPr="00553B0F">
        <w:tab/>
        <w:t xml:space="preserve">Such constructive dialogues will allow for briefing participants on the development and outcomes of the review process, and for collecting inputs and suggestions from participants, including their contributions on ways to improve the implementation of the Convention and the Protocols thereto; </w:t>
      </w:r>
    </w:p>
    <w:p w14:paraId="22C1AACE" w14:textId="77777777" w:rsidR="00B635C0" w:rsidRPr="00553B0F" w:rsidRDefault="00B635C0" w:rsidP="00B635C0">
      <w:pPr>
        <w:pStyle w:val="SingleTxt"/>
        <w:ind w:hanging="1267"/>
      </w:pPr>
      <w:r w:rsidRPr="00553B0F">
        <w:tab/>
      </w:r>
      <w:r w:rsidRPr="00553B0F">
        <w:tab/>
        <w:t>(j)</w:t>
      </w:r>
      <w:r w:rsidRPr="00553B0F">
        <w:tab/>
        <w:t xml:space="preserve">Participants are encouraged to take advantage of the constructive dialogues to provide information on their relevant activities, including those activities related to meeting technical assistance needs. </w:t>
      </w:r>
    </w:p>
    <w:p w14:paraId="7AC265B1" w14:textId="77777777" w:rsidR="00B635C0" w:rsidRPr="00553B0F" w:rsidRDefault="00B635C0" w:rsidP="00B635C0">
      <w:pPr>
        <w:pStyle w:val="SingleTxt"/>
        <w:spacing w:after="0" w:line="120" w:lineRule="atLeast"/>
        <w:ind w:hanging="1267"/>
        <w:rPr>
          <w:sz w:val="10"/>
        </w:rPr>
      </w:pPr>
    </w:p>
    <w:p w14:paraId="0EC434BC" w14:textId="77777777" w:rsidR="00B635C0" w:rsidRPr="00553B0F" w:rsidRDefault="00B635C0" w:rsidP="00B635C0">
      <w:pPr>
        <w:pStyle w:val="SingleTxt"/>
        <w:spacing w:after="0" w:line="120" w:lineRule="atLeast"/>
        <w:ind w:hanging="1267"/>
        <w:rPr>
          <w:sz w:val="10"/>
        </w:rPr>
      </w:pPr>
    </w:p>
    <w:p w14:paraId="1827C679" w14:textId="77777777" w:rsidR="00B635C0" w:rsidRPr="00553B0F" w:rsidRDefault="00B635C0" w:rsidP="00B635C0">
      <w:pPr>
        <w:pStyle w:val="HCh"/>
        <w:ind w:left="1267" w:right="1260" w:hanging="1267"/>
      </w:pPr>
      <w:r w:rsidRPr="00553B0F">
        <w:tab/>
        <w:t>X.</w:t>
      </w:r>
      <w:r w:rsidRPr="00553B0F">
        <w:tab/>
        <w:t>Funding</w:t>
      </w:r>
    </w:p>
    <w:p w14:paraId="48F5CFF2" w14:textId="77777777" w:rsidR="00B635C0" w:rsidRPr="00553B0F" w:rsidRDefault="00B635C0" w:rsidP="00B635C0">
      <w:pPr>
        <w:pStyle w:val="SingleTxt"/>
        <w:spacing w:after="0" w:line="120" w:lineRule="atLeast"/>
        <w:ind w:hanging="1267"/>
        <w:rPr>
          <w:sz w:val="10"/>
        </w:rPr>
      </w:pPr>
    </w:p>
    <w:p w14:paraId="19375567" w14:textId="77777777" w:rsidR="00B635C0" w:rsidRDefault="00B635C0" w:rsidP="00B635C0">
      <w:pPr>
        <w:pStyle w:val="SingleTxt"/>
        <w:ind w:left="1267" w:right="1267" w:hanging="1267"/>
      </w:pPr>
      <w:r>
        <w:rPr>
          <w:spacing w:val="0"/>
          <w:w w:val="100"/>
        </w:rPr>
        <w:tab/>
      </w:r>
      <w:r w:rsidRPr="00553B0F">
        <w:rPr>
          <w:spacing w:val="0"/>
          <w:w w:val="100"/>
        </w:rPr>
        <w:t>54.</w:t>
      </w:r>
      <w:r w:rsidRPr="00553B0F">
        <w:rPr>
          <w:spacing w:val="0"/>
          <w:w w:val="100"/>
        </w:rPr>
        <w:tab/>
      </w:r>
      <w:r w:rsidRPr="00553B0F">
        <w:t xml:space="preserve">The requirements of the Mechanism and its Secretariat shall be funded, in its entirety, from the existing resources of the regular budget allocated to the Conference of </w:t>
      </w:r>
      <w:r>
        <w:t xml:space="preserve">the </w:t>
      </w:r>
      <w:r w:rsidRPr="00553B0F">
        <w:t xml:space="preserve">Parties to the United Nations Convention against Transnational Organized Crime, and where necessary, additional costs shall be funded from extrabudgetary resources, including voluntary contributions, without conditions that would impact the impartiality of the Mechanism, to be channelled through a dedicated account to be </w:t>
      </w:r>
      <w:r>
        <w:t>established</w:t>
      </w:r>
      <w:r w:rsidRPr="00553B0F">
        <w:t xml:space="preserve"> by the Secretariat, in accordance with the rules and procedures of the United Nations. </w:t>
      </w:r>
    </w:p>
    <w:p w14:paraId="7AD405C3" w14:textId="11AC667D" w:rsidR="00B635C0" w:rsidRDefault="00B635C0" w:rsidP="00B635C0">
      <w:pPr>
        <w:pStyle w:val="SingleTxt"/>
        <w:ind w:left="1267" w:right="1267" w:hanging="1267"/>
      </w:pPr>
    </w:p>
    <w:p w14:paraId="1DE488E0" w14:textId="6363CD71" w:rsidR="00B635C0" w:rsidRDefault="00B635C0" w:rsidP="00B635C0">
      <w:pPr>
        <w:pStyle w:val="SingleTxt"/>
        <w:ind w:left="1267" w:right="1267" w:hanging="1267"/>
      </w:pPr>
    </w:p>
    <w:p w14:paraId="06CD609D" w14:textId="1000247B" w:rsidR="00B635C0" w:rsidRDefault="00B635C0" w:rsidP="00B635C0">
      <w:pPr>
        <w:pStyle w:val="SingleTxt"/>
        <w:ind w:left="1267" w:right="1267" w:hanging="1267"/>
      </w:pPr>
    </w:p>
    <w:p w14:paraId="7084340F" w14:textId="77777777" w:rsidR="00B635C0" w:rsidRDefault="00B635C0" w:rsidP="00B635C0">
      <w:pPr>
        <w:pStyle w:val="SingleTxt"/>
        <w:ind w:left="1267" w:right="1267" w:hanging="1267"/>
      </w:pPr>
    </w:p>
    <w:p w14:paraId="32EE16A2" w14:textId="77777777" w:rsidR="00B635C0" w:rsidRPr="00553B0F" w:rsidRDefault="00B635C0" w:rsidP="00B635C0">
      <w:pPr>
        <w:pStyle w:val="HCh"/>
        <w:ind w:left="1267" w:right="1260" w:hanging="1267"/>
      </w:pPr>
      <w:r w:rsidRPr="00553B0F">
        <w:t xml:space="preserve">Appendix </w:t>
      </w:r>
    </w:p>
    <w:p w14:paraId="72E70403" w14:textId="77777777" w:rsidR="00B635C0" w:rsidRPr="00553B0F" w:rsidRDefault="00B635C0" w:rsidP="00B635C0">
      <w:pPr>
        <w:pStyle w:val="SingleTxt"/>
        <w:spacing w:after="0" w:line="120" w:lineRule="atLeast"/>
        <w:rPr>
          <w:sz w:val="10"/>
        </w:rPr>
      </w:pPr>
    </w:p>
    <w:p w14:paraId="2391EC04" w14:textId="77777777" w:rsidR="00B635C0" w:rsidRPr="00553B0F" w:rsidRDefault="00B635C0" w:rsidP="00B635C0">
      <w:pPr>
        <w:pStyle w:val="SingleTxt"/>
        <w:spacing w:after="0" w:line="120" w:lineRule="atLeast"/>
        <w:rPr>
          <w:sz w:val="10"/>
        </w:rPr>
      </w:pPr>
    </w:p>
    <w:p w14:paraId="301811EC" w14:textId="77777777" w:rsidR="00B635C0" w:rsidRPr="00553B0F" w:rsidRDefault="00B635C0" w:rsidP="00B635C0">
      <w:pPr>
        <w:pStyle w:val="HCh"/>
        <w:ind w:left="1267" w:right="1260" w:hanging="1267"/>
      </w:pPr>
      <w:r w:rsidRPr="00553B0F">
        <w:tab/>
      </w:r>
      <w:r w:rsidRPr="00553B0F">
        <w:tab/>
        <w:t>Organization of the review of the implementation of the Convention and the Protocols thereto</w:t>
      </w:r>
    </w:p>
    <w:p w14:paraId="2674549E" w14:textId="77777777" w:rsidR="00B635C0" w:rsidRPr="00553B0F" w:rsidRDefault="00B635C0" w:rsidP="00B635C0">
      <w:pPr>
        <w:pStyle w:val="SingleTxt"/>
        <w:spacing w:after="0" w:line="120" w:lineRule="atLeast"/>
        <w:rPr>
          <w:sz w:val="10"/>
        </w:rPr>
      </w:pPr>
    </w:p>
    <w:p w14:paraId="57DEE89F" w14:textId="77777777" w:rsidR="00B635C0" w:rsidRPr="00553B0F" w:rsidRDefault="00B635C0" w:rsidP="00B635C0">
      <w:pPr>
        <w:pStyle w:val="SingleTxt"/>
        <w:spacing w:after="0" w:line="120" w:lineRule="atLeast"/>
        <w:rPr>
          <w:sz w:val="10"/>
        </w:rPr>
      </w:pPr>
    </w:p>
    <w:p w14:paraId="1D8EF095" w14:textId="77777777" w:rsidR="00B635C0" w:rsidRPr="00553B0F" w:rsidRDefault="00B635C0" w:rsidP="00B635C0">
      <w:pPr>
        <w:pStyle w:val="SingleTxt"/>
        <w:spacing w:after="0"/>
      </w:pPr>
      <w:r w:rsidRPr="00553B0F">
        <w:t>Table 1</w:t>
      </w:r>
    </w:p>
    <w:p w14:paraId="0FB04F49" w14:textId="77777777" w:rsidR="00B635C0" w:rsidRPr="00553B0F" w:rsidRDefault="00B635C0" w:rsidP="00B635C0">
      <w:pPr>
        <w:pStyle w:val="SingleTxt"/>
        <w:rPr>
          <w:b/>
        </w:rPr>
      </w:pPr>
      <w:r w:rsidRPr="00553B0F">
        <w:rPr>
          <w:b/>
        </w:rPr>
        <w:t>Clusters of articles of the Convention and the Protocols thereto for the purpose of the review of implementation</w:t>
      </w:r>
    </w:p>
    <w:tbl>
      <w:tblPr>
        <w:tblW w:w="9309" w:type="dxa"/>
        <w:jc w:val="center"/>
        <w:tblLayout w:type="fixed"/>
        <w:tblCellMar>
          <w:left w:w="0" w:type="dxa"/>
          <w:right w:w="0" w:type="dxa"/>
        </w:tblCellMar>
        <w:tblLook w:val="04A0" w:firstRow="1" w:lastRow="0" w:firstColumn="1" w:lastColumn="0" w:noHBand="0" w:noVBand="1"/>
      </w:tblPr>
      <w:tblGrid>
        <w:gridCol w:w="1694"/>
        <w:gridCol w:w="1736"/>
        <w:gridCol w:w="2128"/>
        <w:gridCol w:w="2001"/>
        <w:gridCol w:w="1750"/>
      </w:tblGrid>
      <w:tr w:rsidR="00B635C0" w:rsidRPr="00553B0F" w14:paraId="39A6E765" w14:textId="77777777" w:rsidTr="00886D5F">
        <w:trPr>
          <w:trHeight w:val="603"/>
          <w:tblHeader/>
          <w:jc w:val="center"/>
        </w:trPr>
        <w:tc>
          <w:tcPr>
            <w:tcW w:w="1694" w:type="dxa"/>
            <w:tcBorders>
              <w:top w:val="single" w:sz="4" w:space="0" w:color="auto"/>
              <w:bottom w:val="single" w:sz="12" w:space="0" w:color="auto"/>
            </w:tcBorders>
            <w:shd w:val="clear" w:color="auto" w:fill="auto"/>
            <w:vAlign w:val="bottom"/>
          </w:tcPr>
          <w:p w14:paraId="79DE5E1C" w14:textId="77777777" w:rsidR="00B635C0" w:rsidRPr="00553B0F" w:rsidRDefault="00B635C0" w:rsidP="00886D5F">
            <w:pPr>
              <w:spacing w:before="40" w:after="40" w:line="160" w:lineRule="atLeast"/>
              <w:ind w:right="40"/>
              <w:rPr>
                <w:i/>
                <w:sz w:val="14"/>
                <w:lang w:eastAsia="fr-FR"/>
              </w:rPr>
            </w:pPr>
            <w:r w:rsidRPr="00553B0F">
              <w:rPr>
                <w:i/>
                <w:sz w:val="14"/>
                <w:lang w:eastAsia="fr-FR"/>
              </w:rPr>
              <w:t>Legal instrument</w:t>
            </w:r>
          </w:p>
        </w:tc>
        <w:tc>
          <w:tcPr>
            <w:tcW w:w="1736" w:type="dxa"/>
            <w:tcBorders>
              <w:top w:val="single" w:sz="4" w:space="0" w:color="auto"/>
              <w:bottom w:val="single" w:sz="12" w:space="0" w:color="auto"/>
            </w:tcBorders>
            <w:shd w:val="clear" w:color="auto" w:fill="auto"/>
            <w:vAlign w:val="bottom"/>
          </w:tcPr>
          <w:p w14:paraId="62CD5A05" w14:textId="77777777" w:rsidR="00B635C0" w:rsidRPr="00553B0F" w:rsidRDefault="00B635C0" w:rsidP="00886D5F">
            <w:pPr>
              <w:spacing w:before="40" w:after="40" w:line="160" w:lineRule="atLeast"/>
              <w:rPr>
                <w:i/>
                <w:sz w:val="14"/>
                <w:lang w:eastAsia="fr-FR"/>
              </w:rPr>
            </w:pPr>
            <w:r w:rsidRPr="00553B0F">
              <w:rPr>
                <w:i/>
                <w:sz w:val="14"/>
                <w:lang w:eastAsia="fr-FR"/>
              </w:rPr>
              <w:t>Cluster on criminalization and jurisdiction</w:t>
            </w:r>
          </w:p>
        </w:tc>
        <w:tc>
          <w:tcPr>
            <w:tcW w:w="2128" w:type="dxa"/>
            <w:tcBorders>
              <w:top w:val="single" w:sz="4" w:space="0" w:color="auto"/>
              <w:bottom w:val="single" w:sz="12" w:space="0" w:color="auto"/>
            </w:tcBorders>
            <w:shd w:val="clear" w:color="auto" w:fill="auto"/>
            <w:vAlign w:val="bottom"/>
          </w:tcPr>
          <w:p w14:paraId="7B0369C6" w14:textId="77777777" w:rsidR="00B635C0" w:rsidRPr="00553B0F" w:rsidRDefault="00B635C0" w:rsidP="00886D5F">
            <w:pPr>
              <w:spacing w:before="40" w:after="40" w:line="160" w:lineRule="atLeast"/>
              <w:ind w:right="113"/>
              <w:rPr>
                <w:i/>
                <w:sz w:val="14"/>
                <w:lang w:eastAsia="fr-FR"/>
              </w:rPr>
            </w:pPr>
            <w:r w:rsidRPr="00553B0F">
              <w:rPr>
                <w:i/>
                <w:sz w:val="14"/>
                <w:lang w:eastAsia="fr-FR"/>
              </w:rPr>
              <w:t>Cluster on prevention, technical assistance, protection measures and other measures</w:t>
            </w:r>
          </w:p>
        </w:tc>
        <w:tc>
          <w:tcPr>
            <w:tcW w:w="2001" w:type="dxa"/>
            <w:tcBorders>
              <w:top w:val="single" w:sz="4" w:space="0" w:color="auto"/>
              <w:bottom w:val="single" w:sz="12" w:space="0" w:color="auto"/>
            </w:tcBorders>
            <w:shd w:val="clear" w:color="auto" w:fill="auto"/>
            <w:vAlign w:val="bottom"/>
          </w:tcPr>
          <w:p w14:paraId="4CFDC9B7" w14:textId="77777777" w:rsidR="00B635C0" w:rsidRPr="00553B0F" w:rsidRDefault="00B635C0" w:rsidP="00886D5F">
            <w:pPr>
              <w:spacing w:before="40" w:after="40" w:line="160" w:lineRule="atLeast"/>
              <w:ind w:right="113"/>
              <w:rPr>
                <w:i/>
                <w:sz w:val="14"/>
                <w:lang w:eastAsia="fr-FR"/>
              </w:rPr>
            </w:pPr>
            <w:r w:rsidRPr="00553B0F">
              <w:rPr>
                <w:i/>
                <w:sz w:val="14"/>
                <w:lang w:eastAsia="fr-FR"/>
              </w:rPr>
              <w:t xml:space="preserve">Cluster on law enforcement and the judicial system </w:t>
            </w:r>
          </w:p>
        </w:tc>
        <w:tc>
          <w:tcPr>
            <w:tcW w:w="1750" w:type="dxa"/>
            <w:tcBorders>
              <w:top w:val="single" w:sz="4" w:space="0" w:color="auto"/>
              <w:bottom w:val="single" w:sz="12" w:space="0" w:color="auto"/>
            </w:tcBorders>
            <w:shd w:val="clear" w:color="auto" w:fill="auto"/>
            <w:vAlign w:val="bottom"/>
          </w:tcPr>
          <w:p w14:paraId="3F3043D4" w14:textId="77777777" w:rsidR="00B635C0" w:rsidRPr="00553B0F" w:rsidRDefault="00B635C0" w:rsidP="00886D5F">
            <w:pPr>
              <w:spacing w:before="40" w:after="40" w:line="160" w:lineRule="atLeast"/>
              <w:rPr>
                <w:i/>
                <w:sz w:val="14"/>
                <w:lang w:eastAsia="fr-FR"/>
              </w:rPr>
            </w:pPr>
            <w:r w:rsidRPr="00553B0F">
              <w:rPr>
                <w:i/>
                <w:sz w:val="14"/>
                <w:lang w:eastAsia="fr-FR"/>
              </w:rPr>
              <w:t>Cluster on international cooperation, mutual legal assistance and confiscation</w:t>
            </w:r>
          </w:p>
        </w:tc>
      </w:tr>
      <w:tr w:rsidR="00B635C0" w:rsidRPr="00553B0F" w14:paraId="574B86B6" w14:textId="77777777" w:rsidTr="00886D5F">
        <w:trPr>
          <w:trHeight w:hRule="exact" w:val="87"/>
          <w:tblHeader/>
          <w:jc w:val="center"/>
        </w:trPr>
        <w:tc>
          <w:tcPr>
            <w:tcW w:w="1694" w:type="dxa"/>
            <w:tcBorders>
              <w:top w:val="single" w:sz="12" w:space="0" w:color="auto"/>
            </w:tcBorders>
            <w:shd w:val="clear" w:color="auto" w:fill="auto"/>
            <w:vAlign w:val="bottom"/>
          </w:tcPr>
          <w:p w14:paraId="5307DD31" w14:textId="77777777" w:rsidR="00B635C0" w:rsidRPr="00553B0F" w:rsidRDefault="00B635C0" w:rsidP="00886D5F">
            <w:pPr>
              <w:spacing w:before="40" w:after="40" w:line="210" w:lineRule="atLeast"/>
              <w:ind w:right="40"/>
              <w:rPr>
                <w:sz w:val="17"/>
                <w:lang w:eastAsia="fr-FR"/>
              </w:rPr>
            </w:pPr>
          </w:p>
        </w:tc>
        <w:tc>
          <w:tcPr>
            <w:tcW w:w="1736" w:type="dxa"/>
            <w:tcBorders>
              <w:top w:val="single" w:sz="12" w:space="0" w:color="auto"/>
            </w:tcBorders>
            <w:shd w:val="clear" w:color="auto" w:fill="auto"/>
            <w:vAlign w:val="bottom"/>
          </w:tcPr>
          <w:p w14:paraId="6FBD6FEC" w14:textId="77777777" w:rsidR="00B635C0" w:rsidRPr="00553B0F" w:rsidRDefault="00B635C0" w:rsidP="00886D5F">
            <w:pPr>
              <w:spacing w:before="40" w:after="40" w:line="210" w:lineRule="atLeast"/>
              <w:ind w:right="113"/>
              <w:jc w:val="right"/>
              <w:rPr>
                <w:sz w:val="17"/>
                <w:lang w:eastAsia="fr-FR"/>
              </w:rPr>
            </w:pPr>
          </w:p>
        </w:tc>
        <w:tc>
          <w:tcPr>
            <w:tcW w:w="2128" w:type="dxa"/>
            <w:tcBorders>
              <w:top w:val="single" w:sz="12" w:space="0" w:color="auto"/>
            </w:tcBorders>
            <w:shd w:val="clear" w:color="auto" w:fill="auto"/>
            <w:vAlign w:val="bottom"/>
          </w:tcPr>
          <w:p w14:paraId="517BA9BE" w14:textId="77777777" w:rsidR="00B635C0" w:rsidRPr="00553B0F" w:rsidRDefault="00B635C0" w:rsidP="00886D5F">
            <w:pPr>
              <w:spacing w:before="40" w:after="40" w:line="210" w:lineRule="atLeast"/>
              <w:ind w:right="113"/>
              <w:jc w:val="right"/>
              <w:rPr>
                <w:sz w:val="17"/>
                <w:lang w:eastAsia="fr-FR"/>
              </w:rPr>
            </w:pPr>
          </w:p>
        </w:tc>
        <w:tc>
          <w:tcPr>
            <w:tcW w:w="2001" w:type="dxa"/>
            <w:tcBorders>
              <w:top w:val="single" w:sz="12" w:space="0" w:color="auto"/>
            </w:tcBorders>
            <w:shd w:val="clear" w:color="auto" w:fill="auto"/>
            <w:vAlign w:val="bottom"/>
          </w:tcPr>
          <w:p w14:paraId="102BC55A" w14:textId="77777777" w:rsidR="00B635C0" w:rsidRPr="00553B0F" w:rsidRDefault="00B635C0" w:rsidP="00886D5F">
            <w:pPr>
              <w:spacing w:before="40" w:after="40" w:line="210" w:lineRule="atLeast"/>
              <w:ind w:right="113"/>
              <w:jc w:val="right"/>
              <w:rPr>
                <w:sz w:val="17"/>
                <w:lang w:eastAsia="fr-FR"/>
              </w:rPr>
            </w:pPr>
          </w:p>
        </w:tc>
        <w:tc>
          <w:tcPr>
            <w:tcW w:w="1750" w:type="dxa"/>
            <w:tcBorders>
              <w:top w:val="single" w:sz="12" w:space="0" w:color="auto"/>
            </w:tcBorders>
            <w:shd w:val="clear" w:color="auto" w:fill="auto"/>
            <w:vAlign w:val="bottom"/>
          </w:tcPr>
          <w:p w14:paraId="7A3ED3AD" w14:textId="77777777" w:rsidR="00B635C0" w:rsidRPr="00553B0F" w:rsidRDefault="00B635C0" w:rsidP="00886D5F">
            <w:pPr>
              <w:spacing w:before="40" w:after="40" w:line="210" w:lineRule="atLeast"/>
              <w:ind w:right="113"/>
              <w:jc w:val="right"/>
              <w:rPr>
                <w:sz w:val="17"/>
                <w:lang w:eastAsia="fr-FR"/>
              </w:rPr>
            </w:pPr>
          </w:p>
        </w:tc>
      </w:tr>
      <w:tr w:rsidR="00B635C0" w:rsidRPr="00553B0F" w14:paraId="1538B502" w14:textId="77777777" w:rsidTr="00886D5F">
        <w:trPr>
          <w:trHeight w:val="577"/>
          <w:jc w:val="center"/>
        </w:trPr>
        <w:tc>
          <w:tcPr>
            <w:tcW w:w="1694" w:type="dxa"/>
            <w:shd w:val="clear" w:color="auto" w:fill="auto"/>
          </w:tcPr>
          <w:p w14:paraId="077BDF7E" w14:textId="77777777" w:rsidR="00B635C0" w:rsidRPr="00553B0F" w:rsidRDefault="00B635C0" w:rsidP="00886D5F">
            <w:pPr>
              <w:tabs>
                <w:tab w:val="left" w:pos="288"/>
                <w:tab w:val="left" w:pos="576"/>
                <w:tab w:val="left" w:pos="864"/>
                <w:tab w:val="left" w:pos="1152"/>
              </w:tabs>
              <w:spacing w:before="40" w:after="80"/>
              <w:ind w:right="40"/>
            </w:pPr>
            <w:r w:rsidRPr="00553B0F">
              <w:t>Organized Crime Convention</w:t>
            </w:r>
          </w:p>
        </w:tc>
        <w:tc>
          <w:tcPr>
            <w:tcW w:w="1736" w:type="dxa"/>
            <w:shd w:val="clear" w:color="auto" w:fill="auto"/>
          </w:tcPr>
          <w:p w14:paraId="3639A36A" w14:textId="77777777" w:rsidR="00B635C0" w:rsidRPr="00553B0F" w:rsidRDefault="00B635C0" w:rsidP="00886D5F">
            <w:pPr>
              <w:tabs>
                <w:tab w:val="left" w:pos="288"/>
                <w:tab w:val="left" w:pos="576"/>
                <w:tab w:val="left" w:pos="864"/>
                <w:tab w:val="left" w:pos="1152"/>
              </w:tabs>
              <w:spacing w:before="40" w:after="80"/>
              <w:ind w:right="40"/>
            </w:pPr>
            <w:r w:rsidRPr="00553B0F">
              <w:t>Articles 2, 5, 6, 8, 9, 10, 15 and 23</w:t>
            </w:r>
            <w:r w:rsidRPr="00553B0F">
              <w:rPr>
                <w:vertAlign w:val="superscript"/>
              </w:rPr>
              <w:t>a</w:t>
            </w:r>
          </w:p>
        </w:tc>
        <w:tc>
          <w:tcPr>
            <w:tcW w:w="2128" w:type="dxa"/>
            <w:shd w:val="clear" w:color="auto" w:fill="auto"/>
          </w:tcPr>
          <w:p w14:paraId="5C3EEDA7" w14:textId="77777777" w:rsidR="00B635C0" w:rsidRPr="00553B0F" w:rsidRDefault="00B635C0" w:rsidP="00886D5F">
            <w:pPr>
              <w:tabs>
                <w:tab w:val="left" w:pos="288"/>
                <w:tab w:val="left" w:pos="576"/>
                <w:tab w:val="left" w:pos="864"/>
                <w:tab w:val="left" w:pos="1152"/>
              </w:tabs>
              <w:spacing w:before="40" w:after="80"/>
              <w:ind w:right="40"/>
            </w:pPr>
            <w:r w:rsidRPr="00553B0F">
              <w:t xml:space="preserve">Articles 24, 25, 29, 30 </w:t>
            </w:r>
            <w:r w:rsidRPr="00553B0F">
              <w:br/>
              <w:t>and 31</w:t>
            </w:r>
          </w:p>
        </w:tc>
        <w:tc>
          <w:tcPr>
            <w:tcW w:w="2001" w:type="dxa"/>
            <w:shd w:val="clear" w:color="auto" w:fill="auto"/>
          </w:tcPr>
          <w:p w14:paraId="752FF8D4" w14:textId="77777777" w:rsidR="00B635C0" w:rsidRPr="00553B0F" w:rsidRDefault="00B635C0" w:rsidP="00886D5F">
            <w:pPr>
              <w:tabs>
                <w:tab w:val="left" w:pos="288"/>
                <w:tab w:val="left" w:pos="576"/>
                <w:tab w:val="left" w:pos="864"/>
                <w:tab w:val="left" w:pos="1152"/>
              </w:tabs>
              <w:spacing w:before="40" w:after="80"/>
              <w:ind w:right="40"/>
            </w:pPr>
            <w:r w:rsidRPr="00553B0F">
              <w:t>Articles 7, 11, 19, 20, 22, 26, 27 and 28</w:t>
            </w:r>
          </w:p>
        </w:tc>
        <w:tc>
          <w:tcPr>
            <w:tcW w:w="1750" w:type="dxa"/>
            <w:shd w:val="clear" w:color="auto" w:fill="auto"/>
          </w:tcPr>
          <w:p w14:paraId="4C69E310" w14:textId="77777777" w:rsidR="00B635C0" w:rsidRPr="00553B0F" w:rsidRDefault="00B635C0" w:rsidP="00886D5F">
            <w:pPr>
              <w:tabs>
                <w:tab w:val="left" w:pos="288"/>
                <w:tab w:val="left" w:pos="576"/>
                <w:tab w:val="left" w:pos="864"/>
                <w:tab w:val="left" w:pos="1152"/>
              </w:tabs>
              <w:spacing w:before="40" w:after="80"/>
              <w:ind w:right="40"/>
            </w:pPr>
            <w:r w:rsidRPr="00553B0F">
              <w:t>Articles 12, 13, 14, 16, 17, 18 and 21</w:t>
            </w:r>
          </w:p>
        </w:tc>
      </w:tr>
      <w:tr w:rsidR="00B635C0" w:rsidRPr="00553B0F" w14:paraId="144BDEF1" w14:textId="77777777" w:rsidTr="00886D5F">
        <w:trPr>
          <w:trHeight w:val="189"/>
          <w:jc w:val="center"/>
        </w:trPr>
        <w:tc>
          <w:tcPr>
            <w:tcW w:w="1694" w:type="dxa"/>
            <w:shd w:val="clear" w:color="auto" w:fill="auto"/>
          </w:tcPr>
          <w:p w14:paraId="3B84B930" w14:textId="77777777" w:rsidR="00B635C0" w:rsidRPr="00553B0F" w:rsidRDefault="00B635C0" w:rsidP="00886D5F">
            <w:pPr>
              <w:tabs>
                <w:tab w:val="left" w:pos="288"/>
                <w:tab w:val="left" w:pos="576"/>
                <w:tab w:val="left" w:pos="864"/>
                <w:tab w:val="left" w:pos="1152"/>
              </w:tabs>
              <w:spacing w:before="40" w:after="80"/>
              <w:ind w:right="40"/>
            </w:pPr>
            <w:r w:rsidRPr="00553B0F">
              <w:t xml:space="preserve">Trafficking in </w:t>
            </w:r>
            <w:r w:rsidRPr="00553B0F">
              <w:br/>
              <w:t>Persons Protocol</w:t>
            </w:r>
          </w:p>
        </w:tc>
        <w:tc>
          <w:tcPr>
            <w:tcW w:w="1736" w:type="dxa"/>
            <w:shd w:val="clear" w:color="auto" w:fill="auto"/>
          </w:tcPr>
          <w:p w14:paraId="6DC12766" w14:textId="77777777" w:rsidR="00B635C0" w:rsidRPr="00553B0F" w:rsidRDefault="00B635C0" w:rsidP="00886D5F">
            <w:pPr>
              <w:tabs>
                <w:tab w:val="left" w:pos="288"/>
                <w:tab w:val="left" w:pos="576"/>
                <w:tab w:val="left" w:pos="864"/>
                <w:tab w:val="left" w:pos="1152"/>
              </w:tabs>
              <w:spacing w:before="40" w:after="80"/>
              <w:ind w:right="113"/>
            </w:pPr>
            <w:r w:rsidRPr="00553B0F">
              <w:t>Articles 3 and 5</w:t>
            </w:r>
          </w:p>
        </w:tc>
        <w:tc>
          <w:tcPr>
            <w:tcW w:w="2128" w:type="dxa"/>
            <w:shd w:val="clear" w:color="auto" w:fill="auto"/>
          </w:tcPr>
          <w:p w14:paraId="26116067" w14:textId="77777777" w:rsidR="00B635C0" w:rsidRPr="00553B0F" w:rsidRDefault="00B635C0" w:rsidP="00886D5F">
            <w:pPr>
              <w:tabs>
                <w:tab w:val="left" w:pos="288"/>
                <w:tab w:val="left" w:pos="576"/>
                <w:tab w:val="left" w:pos="864"/>
                <w:tab w:val="left" w:pos="1152"/>
              </w:tabs>
              <w:spacing w:before="40" w:after="80"/>
              <w:ind w:right="113"/>
            </w:pPr>
            <w:r w:rsidRPr="00553B0F">
              <w:t>Articles 6, 7 and 9</w:t>
            </w:r>
          </w:p>
        </w:tc>
        <w:tc>
          <w:tcPr>
            <w:tcW w:w="2001" w:type="dxa"/>
            <w:shd w:val="clear" w:color="auto" w:fill="auto"/>
          </w:tcPr>
          <w:p w14:paraId="03AC1C13" w14:textId="77777777" w:rsidR="00B635C0" w:rsidRPr="00553B0F" w:rsidRDefault="00B635C0" w:rsidP="00886D5F">
            <w:pPr>
              <w:tabs>
                <w:tab w:val="left" w:pos="288"/>
                <w:tab w:val="left" w:pos="576"/>
                <w:tab w:val="left" w:pos="864"/>
                <w:tab w:val="left" w:pos="1152"/>
              </w:tabs>
              <w:spacing w:before="40" w:after="80"/>
              <w:ind w:right="80"/>
            </w:pPr>
            <w:r w:rsidRPr="00553B0F">
              <w:t xml:space="preserve">Articles 11, 12 </w:t>
            </w:r>
            <w:r w:rsidRPr="00553B0F">
              <w:br/>
              <w:t>and 13</w:t>
            </w:r>
          </w:p>
        </w:tc>
        <w:tc>
          <w:tcPr>
            <w:tcW w:w="1750" w:type="dxa"/>
            <w:shd w:val="clear" w:color="auto" w:fill="auto"/>
          </w:tcPr>
          <w:p w14:paraId="7CBDB168" w14:textId="77777777" w:rsidR="00B635C0" w:rsidRPr="00553B0F" w:rsidRDefault="00B635C0" w:rsidP="00886D5F">
            <w:pPr>
              <w:tabs>
                <w:tab w:val="left" w:pos="288"/>
                <w:tab w:val="left" w:pos="576"/>
                <w:tab w:val="left" w:pos="864"/>
                <w:tab w:val="left" w:pos="1152"/>
              </w:tabs>
              <w:spacing w:before="40" w:after="80"/>
              <w:ind w:right="113"/>
            </w:pPr>
            <w:r w:rsidRPr="00553B0F">
              <w:t>Articles 8 and 10</w:t>
            </w:r>
          </w:p>
        </w:tc>
      </w:tr>
      <w:tr w:rsidR="00B635C0" w:rsidRPr="00553B0F" w14:paraId="5E9AAD6B" w14:textId="77777777" w:rsidTr="00886D5F">
        <w:trPr>
          <w:trHeight w:val="437"/>
          <w:jc w:val="center"/>
        </w:trPr>
        <w:tc>
          <w:tcPr>
            <w:tcW w:w="1694" w:type="dxa"/>
            <w:shd w:val="clear" w:color="auto" w:fill="auto"/>
          </w:tcPr>
          <w:p w14:paraId="3DB47647" w14:textId="77777777" w:rsidR="00B635C0" w:rsidRPr="00553B0F" w:rsidRDefault="00B635C0" w:rsidP="00886D5F">
            <w:pPr>
              <w:tabs>
                <w:tab w:val="left" w:pos="288"/>
                <w:tab w:val="left" w:pos="576"/>
                <w:tab w:val="left" w:pos="864"/>
                <w:tab w:val="left" w:pos="1152"/>
              </w:tabs>
              <w:spacing w:before="40" w:after="80"/>
              <w:ind w:right="40"/>
            </w:pPr>
            <w:r w:rsidRPr="00553B0F">
              <w:t>Smuggling of Migrants Protocol</w:t>
            </w:r>
          </w:p>
        </w:tc>
        <w:tc>
          <w:tcPr>
            <w:tcW w:w="1736" w:type="dxa"/>
            <w:shd w:val="clear" w:color="auto" w:fill="auto"/>
          </w:tcPr>
          <w:p w14:paraId="4F2A5A82" w14:textId="77777777" w:rsidR="00B635C0" w:rsidRPr="00553B0F" w:rsidRDefault="00B635C0" w:rsidP="00886D5F">
            <w:pPr>
              <w:tabs>
                <w:tab w:val="left" w:pos="288"/>
                <w:tab w:val="left" w:pos="576"/>
                <w:tab w:val="left" w:pos="864"/>
                <w:tab w:val="left" w:pos="1152"/>
              </w:tabs>
              <w:spacing w:before="40" w:after="80"/>
              <w:ind w:right="113"/>
            </w:pPr>
            <w:r w:rsidRPr="00553B0F">
              <w:t xml:space="preserve">Articles 3, 5 </w:t>
            </w:r>
            <w:r w:rsidRPr="00553B0F">
              <w:br/>
              <w:t>and 6</w:t>
            </w:r>
          </w:p>
        </w:tc>
        <w:tc>
          <w:tcPr>
            <w:tcW w:w="2128" w:type="dxa"/>
            <w:shd w:val="clear" w:color="auto" w:fill="auto"/>
          </w:tcPr>
          <w:p w14:paraId="26DF0977" w14:textId="77777777" w:rsidR="00B635C0" w:rsidRPr="00553B0F" w:rsidRDefault="00B635C0" w:rsidP="00886D5F">
            <w:pPr>
              <w:tabs>
                <w:tab w:val="left" w:pos="288"/>
                <w:tab w:val="left" w:pos="576"/>
                <w:tab w:val="left" w:pos="864"/>
                <w:tab w:val="left" w:pos="1152"/>
              </w:tabs>
              <w:spacing w:before="40" w:after="80"/>
              <w:ind w:right="113"/>
            </w:pPr>
            <w:r w:rsidRPr="00553B0F">
              <w:t xml:space="preserve">Articles 8, 9, 14, 15 </w:t>
            </w:r>
            <w:r w:rsidRPr="00553B0F">
              <w:br/>
              <w:t>and 16</w:t>
            </w:r>
          </w:p>
        </w:tc>
        <w:tc>
          <w:tcPr>
            <w:tcW w:w="2001" w:type="dxa"/>
            <w:shd w:val="clear" w:color="auto" w:fill="auto"/>
          </w:tcPr>
          <w:p w14:paraId="557AE4B5" w14:textId="77777777" w:rsidR="00B635C0" w:rsidRPr="00553B0F" w:rsidRDefault="00B635C0" w:rsidP="00886D5F">
            <w:pPr>
              <w:tabs>
                <w:tab w:val="left" w:pos="288"/>
                <w:tab w:val="left" w:pos="576"/>
                <w:tab w:val="left" w:pos="864"/>
                <w:tab w:val="left" w:pos="1152"/>
              </w:tabs>
              <w:spacing w:before="40" w:after="80"/>
              <w:ind w:right="80"/>
            </w:pPr>
            <w:r w:rsidRPr="00553B0F">
              <w:t xml:space="preserve">Articles 11, 12 </w:t>
            </w:r>
            <w:r w:rsidRPr="00553B0F">
              <w:br/>
              <w:t>and 13</w:t>
            </w:r>
          </w:p>
        </w:tc>
        <w:tc>
          <w:tcPr>
            <w:tcW w:w="1750" w:type="dxa"/>
            <w:shd w:val="clear" w:color="auto" w:fill="auto"/>
          </w:tcPr>
          <w:p w14:paraId="66A4E2B8" w14:textId="77777777" w:rsidR="00B635C0" w:rsidRPr="00553B0F" w:rsidRDefault="00B635C0" w:rsidP="00886D5F">
            <w:pPr>
              <w:tabs>
                <w:tab w:val="left" w:pos="288"/>
                <w:tab w:val="left" w:pos="576"/>
                <w:tab w:val="left" w:pos="864"/>
                <w:tab w:val="left" w:pos="1152"/>
              </w:tabs>
              <w:spacing w:before="40" w:after="80"/>
              <w:ind w:right="113"/>
            </w:pPr>
            <w:r w:rsidRPr="00553B0F">
              <w:t xml:space="preserve">Articles 7, 10 </w:t>
            </w:r>
            <w:r w:rsidRPr="00553B0F">
              <w:br/>
              <w:t>and 18</w:t>
            </w:r>
          </w:p>
        </w:tc>
      </w:tr>
      <w:tr w:rsidR="00B635C0" w:rsidRPr="00553B0F" w14:paraId="7AC40F98" w14:textId="77777777" w:rsidTr="00886D5F">
        <w:trPr>
          <w:trHeight w:val="408"/>
          <w:jc w:val="center"/>
        </w:trPr>
        <w:tc>
          <w:tcPr>
            <w:tcW w:w="1694" w:type="dxa"/>
            <w:tcBorders>
              <w:bottom w:val="single" w:sz="12" w:space="0" w:color="auto"/>
            </w:tcBorders>
            <w:shd w:val="clear" w:color="auto" w:fill="auto"/>
          </w:tcPr>
          <w:p w14:paraId="6EFBD662" w14:textId="77777777" w:rsidR="00B635C0" w:rsidRPr="00553B0F" w:rsidRDefault="00B635C0" w:rsidP="00886D5F">
            <w:pPr>
              <w:tabs>
                <w:tab w:val="left" w:pos="288"/>
                <w:tab w:val="left" w:pos="576"/>
                <w:tab w:val="left" w:pos="864"/>
                <w:tab w:val="left" w:pos="1152"/>
              </w:tabs>
              <w:spacing w:before="40" w:after="80"/>
              <w:ind w:right="40"/>
            </w:pPr>
            <w:r w:rsidRPr="00553B0F">
              <w:t>Firearms Protocol</w:t>
            </w:r>
          </w:p>
        </w:tc>
        <w:tc>
          <w:tcPr>
            <w:tcW w:w="1736" w:type="dxa"/>
            <w:tcBorders>
              <w:bottom w:val="single" w:sz="12" w:space="0" w:color="auto"/>
            </w:tcBorders>
            <w:shd w:val="clear" w:color="auto" w:fill="auto"/>
          </w:tcPr>
          <w:p w14:paraId="4E5C58C0" w14:textId="77777777" w:rsidR="00B635C0" w:rsidRPr="00553B0F" w:rsidRDefault="00B635C0" w:rsidP="00886D5F">
            <w:pPr>
              <w:tabs>
                <w:tab w:val="left" w:pos="288"/>
                <w:tab w:val="left" w:pos="576"/>
                <w:tab w:val="left" w:pos="864"/>
                <w:tab w:val="left" w:pos="1152"/>
              </w:tabs>
              <w:spacing w:before="40" w:after="80"/>
              <w:ind w:right="113"/>
            </w:pPr>
            <w:r w:rsidRPr="00553B0F">
              <w:t xml:space="preserve">Articles 3, 5 </w:t>
            </w:r>
            <w:r w:rsidRPr="00553B0F">
              <w:br/>
              <w:t>and 8</w:t>
            </w:r>
          </w:p>
        </w:tc>
        <w:tc>
          <w:tcPr>
            <w:tcW w:w="2128" w:type="dxa"/>
            <w:tcBorders>
              <w:bottom w:val="single" w:sz="12" w:space="0" w:color="auto"/>
            </w:tcBorders>
            <w:shd w:val="clear" w:color="auto" w:fill="auto"/>
          </w:tcPr>
          <w:p w14:paraId="47C58E00" w14:textId="77777777" w:rsidR="00B635C0" w:rsidRPr="00553B0F" w:rsidRDefault="00B635C0" w:rsidP="00886D5F">
            <w:pPr>
              <w:tabs>
                <w:tab w:val="left" w:pos="288"/>
                <w:tab w:val="left" w:pos="576"/>
                <w:tab w:val="left" w:pos="864"/>
                <w:tab w:val="left" w:pos="1152"/>
              </w:tabs>
              <w:spacing w:before="40" w:after="80"/>
              <w:ind w:right="113"/>
            </w:pPr>
            <w:r w:rsidRPr="00553B0F">
              <w:t>Articles 7, 9, 10, 11, 14 and 15</w:t>
            </w:r>
          </w:p>
        </w:tc>
        <w:tc>
          <w:tcPr>
            <w:tcW w:w="2001" w:type="dxa"/>
            <w:tcBorders>
              <w:bottom w:val="single" w:sz="12" w:space="0" w:color="auto"/>
            </w:tcBorders>
            <w:shd w:val="clear" w:color="auto" w:fill="auto"/>
          </w:tcPr>
          <w:p w14:paraId="00E55E16" w14:textId="77777777" w:rsidR="00B635C0" w:rsidRPr="00553B0F" w:rsidRDefault="00B635C0" w:rsidP="00886D5F">
            <w:pPr>
              <w:tabs>
                <w:tab w:val="left" w:pos="288"/>
                <w:tab w:val="left" w:pos="576"/>
                <w:tab w:val="left" w:pos="864"/>
                <w:tab w:val="left" w:pos="1152"/>
              </w:tabs>
              <w:spacing w:before="40" w:after="80"/>
              <w:ind w:right="113"/>
            </w:pPr>
          </w:p>
        </w:tc>
        <w:tc>
          <w:tcPr>
            <w:tcW w:w="1750" w:type="dxa"/>
            <w:tcBorders>
              <w:bottom w:val="single" w:sz="12" w:space="0" w:color="auto"/>
            </w:tcBorders>
            <w:shd w:val="clear" w:color="auto" w:fill="auto"/>
          </w:tcPr>
          <w:p w14:paraId="7A571B6D" w14:textId="77777777" w:rsidR="00B635C0" w:rsidRPr="00553B0F" w:rsidRDefault="00B635C0" w:rsidP="00886D5F">
            <w:pPr>
              <w:tabs>
                <w:tab w:val="left" w:pos="288"/>
                <w:tab w:val="left" w:pos="576"/>
                <w:tab w:val="left" w:pos="864"/>
                <w:tab w:val="left" w:pos="1152"/>
              </w:tabs>
              <w:spacing w:before="40" w:after="80"/>
              <w:ind w:right="113"/>
            </w:pPr>
            <w:r w:rsidRPr="00553B0F">
              <w:t xml:space="preserve">Articles 6, 12 </w:t>
            </w:r>
            <w:r w:rsidRPr="00553B0F">
              <w:br/>
              <w:t>and 13</w:t>
            </w:r>
          </w:p>
        </w:tc>
      </w:tr>
    </w:tbl>
    <w:p w14:paraId="4E972E48" w14:textId="77777777" w:rsidR="00B635C0" w:rsidRPr="00553B0F" w:rsidRDefault="00B635C0" w:rsidP="00B635C0">
      <w:pPr>
        <w:pStyle w:val="SingleTxt"/>
        <w:spacing w:after="0" w:line="120" w:lineRule="atLeast"/>
        <w:rPr>
          <w:sz w:val="10"/>
        </w:rPr>
      </w:pPr>
    </w:p>
    <w:p w14:paraId="18D767EF" w14:textId="77777777" w:rsidR="00B635C0" w:rsidRPr="00553B0F" w:rsidRDefault="00B635C0" w:rsidP="00B635C0">
      <w:pPr>
        <w:pStyle w:val="FootnoteText"/>
        <w:tabs>
          <w:tab w:val="clear" w:pos="418"/>
          <w:tab w:val="right" w:pos="1476"/>
          <w:tab w:val="left" w:pos="1548"/>
          <w:tab w:val="right" w:pos="1836"/>
          <w:tab w:val="left" w:pos="1908"/>
        </w:tabs>
        <w:spacing w:after="120"/>
        <w:ind w:left="1548" w:right="1264" w:hanging="289"/>
      </w:pPr>
      <w:r w:rsidRPr="00553B0F">
        <w:rPr>
          <w:vertAlign w:val="superscript"/>
        </w:rPr>
        <w:tab/>
      </w:r>
      <w:proofErr w:type="spellStart"/>
      <w:r w:rsidRPr="00553B0F">
        <w:rPr>
          <w:vertAlign w:val="superscript"/>
        </w:rPr>
        <w:t>a</w:t>
      </w:r>
      <w:proofErr w:type="spellEnd"/>
      <w:r w:rsidRPr="00553B0F">
        <w:tab/>
        <w:t xml:space="preserve">The review of articles 8 and 9 of the Convention is only for those States parties to the Organized Crime Convention that are not party to the United Nations Convention against Corruption. </w:t>
      </w:r>
    </w:p>
    <w:p w14:paraId="1ABB0542" w14:textId="77777777" w:rsidR="00B635C0" w:rsidRPr="00553B0F" w:rsidRDefault="00B635C0" w:rsidP="00B635C0">
      <w:pPr>
        <w:pStyle w:val="SingleTxt"/>
        <w:spacing w:after="0" w:line="120" w:lineRule="atLeast"/>
        <w:rPr>
          <w:sz w:val="10"/>
        </w:rPr>
      </w:pPr>
    </w:p>
    <w:p w14:paraId="13C568C1" w14:textId="77777777" w:rsidR="00B635C0" w:rsidRPr="00553B0F" w:rsidRDefault="00B635C0" w:rsidP="00B635C0">
      <w:pPr>
        <w:pStyle w:val="SingleTxt"/>
        <w:spacing w:after="0"/>
      </w:pPr>
      <w:r w:rsidRPr="00553B0F">
        <w:t>Table 2</w:t>
      </w:r>
    </w:p>
    <w:p w14:paraId="17507B4C" w14:textId="77777777" w:rsidR="00B635C0" w:rsidRPr="00553B0F" w:rsidRDefault="00B635C0" w:rsidP="00B635C0">
      <w:pPr>
        <w:pStyle w:val="SingleTxt"/>
        <w:rPr>
          <w:b/>
        </w:rPr>
      </w:pPr>
      <w:r w:rsidRPr="00553B0F">
        <w:rPr>
          <w:b/>
        </w:rPr>
        <w:t>Multi-year workplan for the functioning of the Mechanism</w:t>
      </w:r>
    </w:p>
    <w:tbl>
      <w:tblPr>
        <w:tblW w:w="0" w:type="auto"/>
        <w:tblInd w:w="266" w:type="dxa"/>
        <w:tblCellMar>
          <w:left w:w="0" w:type="dxa"/>
          <w:right w:w="0" w:type="dxa"/>
        </w:tblCellMar>
        <w:tblLook w:val="04A0" w:firstRow="1" w:lastRow="0" w:firstColumn="1" w:lastColumn="0" w:noHBand="0" w:noVBand="1"/>
      </w:tblPr>
      <w:tblGrid>
        <w:gridCol w:w="616"/>
        <w:gridCol w:w="2113"/>
        <w:gridCol w:w="2198"/>
        <w:gridCol w:w="2198"/>
        <w:gridCol w:w="2198"/>
      </w:tblGrid>
      <w:tr w:rsidR="00B635C0" w:rsidRPr="00553B0F" w14:paraId="5EA1FE5B" w14:textId="77777777" w:rsidTr="00886D5F">
        <w:trPr>
          <w:trHeight w:val="230"/>
          <w:tblHeader/>
        </w:trPr>
        <w:tc>
          <w:tcPr>
            <w:tcW w:w="616" w:type="dxa"/>
            <w:tcBorders>
              <w:top w:val="single" w:sz="4" w:space="0" w:color="auto"/>
              <w:bottom w:val="single" w:sz="12" w:space="0" w:color="auto"/>
            </w:tcBorders>
            <w:shd w:val="clear" w:color="auto" w:fill="auto"/>
            <w:vAlign w:val="bottom"/>
          </w:tcPr>
          <w:p w14:paraId="0596DB85" w14:textId="77777777" w:rsidR="00B635C0" w:rsidRPr="00553B0F" w:rsidRDefault="00B635C0" w:rsidP="00886D5F">
            <w:pPr>
              <w:spacing w:before="40" w:after="40" w:line="160" w:lineRule="atLeast"/>
              <w:ind w:right="40"/>
              <w:rPr>
                <w:i/>
                <w:sz w:val="14"/>
                <w:lang w:eastAsia="fr-FR"/>
              </w:rPr>
            </w:pPr>
            <w:r w:rsidRPr="00553B0F">
              <w:rPr>
                <w:i/>
                <w:sz w:val="14"/>
                <w:lang w:eastAsia="fr-FR"/>
              </w:rPr>
              <w:t>Year</w:t>
            </w:r>
          </w:p>
        </w:tc>
        <w:tc>
          <w:tcPr>
            <w:tcW w:w="2113" w:type="dxa"/>
            <w:tcBorders>
              <w:top w:val="single" w:sz="4" w:space="0" w:color="auto"/>
              <w:bottom w:val="single" w:sz="12" w:space="0" w:color="auto"/>
            </w:tcBorders>
            <w:shd w:val="clear" w:color="auto" w:fill="auto"/>
            <w:vAlign w:val="bottom"/>
          </w:tcPr>
          <w:p w14:paraId="077026AE" w14:textId="77777777" w:rsidR="00B635C0" w:rsidRPr="00553B0F" w:rsidRDefault="00B635C0" w:rsidP="00886D5F">
            <w:pPr>
              <w:spacing w:before="40" w:after="40" w:line="160" w:lineRule="atLeast"/>
              <w:ind w:left="84" w:right="-13"/>
              <w:rPr>
                <w:i/>
                <w:sz w:val="14"/>
                <w:lang w:eastAsia="fr-FR"/>
              </w:rPr>
            </w:pPr>
            <w:r w:rsidRPr="00553B0F">
              <w:rPr>
                <w:i/>
                <w:sz w:val="14"/>
                <w:lang w:eastAsia="fr-FR"/>
              </w:rPr>
              <w:t xml:space="preserve">Organized Crime Convention working </w:t>
            </w:r>
            <w:proofErr w:type="spellStart"/>
            <w:r w:rsidRPr="00553B0F">
              <w:rPr>
                <w:i/>
                <w:sz w:val="14"/>
                <w:lang w:eastAsia="fr-FR"/>
              </w:rPr>
              <w:t>groups</w:t>
            </w:r>
            <w:r w:rsidRPr="00553B0F">
              <w:rPr>
                <w:iCs/>
                <w:sz w:val="14"/>
                <w:vertAlign w:val="superscript"/>
                <w:lang w:eastAsia="fr-FR"/>
              </w:rPr>
              <w:t>a</w:t>
            </w:r>
            <w:proofErr w:type="spellEnd"/>
          </w:p>
        </w:tc>
        <w:tc>
          <w:tcPr>
            <w:tcW w:w="2198" w:type="dxa"/>
            <w:tcBorders>
              <w:top w:val="single" w:sz="4" w:space="0" w:color="auto"/>
              <w:bottom w:val="single" w:sz="12" w:space="0" w:color="auto"/>
            </w:tcBorders>
            <w:shd w:val="clear" w:color="auto" w:fill="auto"/>
            <w:vAlign w:val="bottom"/>
          </w:tcPr>
          <w:p w14:paraId="74889EE0" w14:textId="77777777" w:rsidR="00B635C0" w:rsidRPr="00553B0F" w:rsidRDefault="00B635C0" w:rsidP="00886D5F">
            <w:pPr>
              <w:spacing w:before="40" w:after="40" w:line="160" w:lineRule="atLeast"/>
              <w:ind w:right="113"/>
              <w:rPr>
                <w:i/>
                <w:sz w:val="14"/>
                <w:lang w:eastAsia="fr-FR"/>
              </w:rPr>
            </w:pPr>
            <w:r w:rsidRPr="00553B0F">
              <w:rPr>
                <w:i/>
                <w:sz w:val="14"/>
                <w:lang w:eastAsia="fr-FR"/>
              </w:rPr>
              <w:t xml:space="preserve">Working Group on Trafficking </w:t>
            </w:r>
            <w:r w:rsidRPr="00553B0F">
              <w:rPr>
                <w:i/>
                <w:sz w:val="14"/>
                <w:lang w:eastAsia="fr-FR"/>
              </w:rPr>
              <w:br/>
              <w:t xml:space="preserve">in Persons </w:t>
            </w:r>
          </w:p>
        </w:tc>
        <w:tc>
          <w:tcPr>
            <w:tcW w:w="2198" w:type="dxa"/>
            <w:tcBorders>
              <w:top w:val="single" w:sz="4" w:space="0" w:color="auto"/>
              <w:bottom w:val="single" w:sz="12" w:space="0" w:color="auto"/>
            </w:tcBorders>
            <w:shd w:val="clear" w:color="auto" w:fill="auto"/>
            <w:vAlign w:val="bottom"/>
          </w:tcPr>
          <w:p w14:paraId="3843E406" w14:textId="77777777" w:rsidR="00B635C0" w:rsidRPr="00553B0F" w:rsidRDefault="00B635C0" w:rsidP="00886D5F">
            <w:pPr>
              <w:spacing w:before="40" w:after="40" w:line="160" w:lineRule="atLeast"/>
              <w:ind w:right="113"/>
              <w:rPr>
                <w:i/>
                <w:sz w:val="14"/>
                <w:lang w:eastAsia="fr-FR"/>
              </w:rPr>
            </w:pPr>
            <w:r w:rsidRPr="00553B0F">
              <w:rPr>
                <w:i/>
                <w:sz w:val="14"/>
                <w:lang w:eastAsia="fr-FR"/>
              </w:rPr>
              <w:t xml:space="preserve">Working Group on the </w:t>
            </w:r>
            <w:r w:rsidRPr="00553B0F">
              <w:rPr>
                <w:i/>
                <w:sz w:val="14"/>
                <w:lang w:eastAsia="fr-FR"/>
              </w:rPr>
              <w:br/>
              <w:t xml:space="preserve">Smuggling of Migrants </w:t>
            </w:r>
          </w:p>
        </w:tc>
        <w:tc>
          <w:tcPr>
            <w:tcW w:w="2198" w:type="dxa"/>
            <w:tcBorders>
              <w:top w:val="single" w:sz="4" w:space="0" w:color="auto"/>
              <w:bottom w:val="single" w:sz="12" w:space="0" w:color="auto"/>
            </w:tcBorders>
            <w:shd w:val="clear" w:color="auto" w:fill="auto"/>
            <w:vAlign w:val="bottom"/>
          </w:tcPr>
          <w:p w14:paraId="1F8F7C58" w14:textId="77777777" w:rsidR="00B635C0" w:rsidRPr="00553B0F" w:rsidRDefault="00B635C0" w:rsidP="00886D5F">
            <w:pPr>
              <w:spacing w:before="40" w:after="40" w:line="160" w:lineRule="atLeast"/>
              <w:ind w:right="113"/>
              <w:rPr>
                <w:i/>
                <w:sz w:val="14"/>
                <w:lang w:eastAsia="fr-FR"/>
              </w:rPr>
            </w:pPr>
            <w:r w:rsidRPr="00553B0F">
              <w:rPr>
                <w:i/>
                <w:sz w:val="14"/>
                <w:lang w:eastAsia="fr-FR"/>
              </w:rPr>
              <w:t>Working Group on Firearms</w:t>
            </w:r>
          </w:p>
        </w:tc>
      </w:tr>
      <w:tr w:rsidR="00B635C0" w:rsidRPr="00553B0F" w14:paraId="679128DB" w14:textId="77777777" w:rsidTr="00886D5F">
        <w:trPr>
          <w:trHeight w:hRule="exact" w:val="87"/>
          <w:tblHeader/>
        </w:trPr>
        <w:tc>
          <w:tcPr>
            <w:tcW w:w="616" w:type="dxa"/>
            <w:tcBorders>
              <w:top w:val="single" w:sz="12" w:space="0" w:color="auto"/>
            </w:tcBorders>
            <w:shd w:val="clear" w:color="auto" w:fill="auto"/>
            <w:vAlign w:val="bottom"/>
          </w:tcPr>
          <w:p w14:paraId="07A7C05B" w14:textId="77777777" w:rsidR="00B635C0" w:rsidRPr="00553B0F" w:rsidRDefault="00B635C0" w:rsidP="00886D5F">
            <w:pPr>
              <w:spacing w:before="40" w:after="40" w:line="210" w:lineRule="atLeast"/>
              <w:ind w:right="40"/>
              <w:rPr>
                <w:sz w:val="17"/>
                <w:lang w:eastAsia="fr-FR"/>
              </w:rPr>
            </w:pPr>
          </w:p>
        </w:tc>
        <w:tc>
          <w:tcPr>
            <w:tcW w:w="2113" w:type="dxa"/>
            <w:tcBorders>
              <w:top w:val="single" w:sz="12" w:space="0" w:color="auto"/>
            </w:tcBorders>
            <w:shd w:val="clear" w:color="auto" w:fill="auto"/>
            <w:vAlign w:val="bottom"/>
          </w:tcPr>
          <w:p w14:paraId="498B07A0" w14:textId="77777777" w:rsidR="00B635C0" w:rsidRPr="00553B0F" w:rsidRDefault="00B635C0" w:rsidP="00886D5F">
            <w:pPr>
              <w:spacing w:before="40" w:after="40" w:line="210" w:lineRule="atLeast"/>
              <w:ind w:left="84" w:right="-13"/>
              <w:rPr>
                <w:sz w:val="17"/>
                <w:lang w:eastAsia="fr-FR"/>
              </w:rPr>
            </w:pPr>
          </w:p>
        </w:tc>
        <w:tc>
          <w:tcPr>
            <w:tcW w:w="2198" w:type="dxa"/>
            <w:tcBorders>
              <w:top w:val="single" w:sz="12" w:space="0" w:color="auto"/>
            </w:tcBorders>
            <w:shd w:val="clear" w:color="auto" w:fill="auto"/>
            <w:vAlign w:val="bottom"/>
          </w:tcPr>
          <w:p w14:paraId="75B0512D" w14:textId="77777777" w:rsidR="00B635C0" w:rsidRPr="00553B0F" w:rsidRDefault="00B635C0" w:rsidP="00886D5F">
            <w:pPr>
              <w:spacing w:before="40" w:after="40" w:line="210" w:lineRule="atLeast"/>
              <w:ind w:right="40"/>
              <w:rPr>
                <w:sz w:val="17"/>
                <w:lang w:eastAsia="fr-FR"/>
              </w:rPr>
            </w:pPr>
          </w:p>
        </w:tc>
        <w:tc>
          <w:tcPr>
            <w:tcW w:w="2198" w:type="dxa"/>
            <w:tcBorders>
              <w:top w:val="single" w:sz="12" w:space="0" w:color="auto"/>
            </w:tcBorders>
            <w:shd w:val="clear" w:color="auto" w:fill="auto"/>
            <w:vAlign w:val="bottom"/>
          </w:tcPr>
          <w:p w14:paraId="08271334" w14:textId="77777777" w:rsidR="00B635C0" w:rsidRPr="00553B0F" w:rsidRDefault="00B635C0" w:rsidP="00886D5F">
            <w:pPr>
              <w:spacing w:before="40" w:after="40" w:line="210" w:lineRule="atLeast"/>
              <w:ind w:right="40"/>
              <w:rPr>
                <w:sz w:val="17"/>
                <w:lang w:eastAsia="fr-FR"/>
              </w:rPr>
            </w:pPr>
          </w:p>
        </w:tc>
        <w:tc>
          <w:tcPr>
            <w:tcW w:w="2198" w:type="dxa"/>
            <w:tcBorders>
              <w:top w:val="single" w:sz="12" w:space="0" w:color="auto"/>
            </w:tcBorders>
            <w:shd w:val="clear" w:color="auto" w:fill="auto"/>
            <w:vAlign w:val="bottom"/>
          </w:tcPr>
          <w:p w14:paraId="5E185C13" w14:textId="77777777" w:rsidR="00B635C0" w:rsidRPr="00553B0F" w:rsidRDefault="00B635C0" w:rsidP="00886D5F">
            <w:pPr>
              <w:spacing w:before="40" w:after="40" w:line="210" w:lineRule="atLeast"/>
              <w:ind w:right="40"/>
              <w:rPr>
                <w:sz w:val="17"/>
                <w:lang w:eastAsia="fr-FR"/>
              </w:rPr>
            </w:pPr>
          </w:p>
        </w:tc>
      </w:tr>
      <w:tr w:rsidR="00B635C0" w:rsidRPr="00553B0F" w14:paraId="7AA0BDA6" w14:textId="77777777" w:rsidTr="00886D5F">
        <w:trPr>
          <w:trHeight w:val="636"/>
        </w:trPr>
        <w:tc>
          <w:tcPr>
            <w:tcW w:w="616" w:type="dxa"/>
            <w:shd w:val="clear" w:color="auto" w:fill="auto"/>
          </w:tcPr>
          <w:p w14:paraId="46D93F3C" w14:textId="77777777" w:rsidR="00B635C0" w:rsidRPr="00553B0F" w:rsidRDefault="00B635C0" w:rsidP="00886D5F">
            <w:pPr>
              <w:tabs>
                <w:tab w:val="left" w:pos="288"/>
                <w:tab w:val="left" w:pos="576"/>
                <w:tab w:val="left" w:pos="864"/>
                <w:tab w:val="left" w:pos="1152"/>
              </w:tabs>
              <w:spacing w:before="40" w:after="80"/>
              <w:ind w:right="40"/>
            </w:pPr>
            <w:r>
              <w:t>I–</w:t>
            </w:r>
            <w:r w:rsidRPr="00553B0F">
              <w:t>II</w:t>
            </w:r>
          </w:p>
        </w:tc>
        <w:tc>
          <w:tcPr>
            <w:tcW w:w="2113" w:type="dxa"/>
            <w:shd w:val="clear" w:color="auto" w:fill="auto"/>
          </w:tcPr>
          <w:p w14:paraId="175BCD4C" w14:textId="77777777" w:rsidR="00B635C0" w:rsidRPr="00553B0F" w:rsidRDefault="00B635C0" w:rsidP="00886D5F">
            <w:pPr>
              <w:tabs>
                <w:tab w:val="left" w:pos="288"/>
                <w:tab w:val="left" w:pos="576"/>
                <w:tab w:val="left" w:pos="864"/>
                <w:tab w:val="left" w:pos="1152"/>
              </w:tabs>
              <w:spacing w:before="40" w:after="80"/>
              <w:ind w:left="84" w:right="-13"/>
            </w:pPr>
            <w:r w:rsidRPr="00553B0F">
              <w:t xml:space="preserve">Definition of organizational matters and questionnaire </w:t>
            </w:r>
          </w:p>
        </w:tc>
        <w:tc>
          <w:tcPr>
            <w:tcW w:w="2198" w:type="dxa"/>
            <w:shd w:val="clear" w:color="auto" w:fill="auto"/>
          </w:tcPr>
          <w:p w14:paraId="37DF90AF" w14:textId="77777777" w:rsidR="00B635C0" w:rsidRPr="00553B0F" w:rsidRDefault="00B635C0" w:rsidP="00886D5F">
            <w:pPr>
              <w:tabs>
                <w:tab w:val="left" w:pos="288"/>
                <w:tab w:val="left" w:pos="576"/>
                <w:tab w:val="left" w:pos="864"/>
                <w:tab w:val="left" w:pos="1152"/>
              </w:tabs>
              <w:spacing w:before="40" w:after="80"/>
              <w:ind w:right="40"/>
            </w:pPr>
            <w:r w:rsidRPr="00553B0F">
              <w:t>Definition of organizational matters and questionnaire</w:t>
            </w:r>
          </w:p>
        </w:tc>
        <w:tc>
          <w:tcPr>
            <w:tcW w:w="2198" w:type="dxa"/>
            <w:shd w:val="clear" w:color="auto" w:fill="auto"/>
          </w:tcPr>
          <w:p w14:paraId="16BE6CA2" w14:textId="77777777" w:rsidR="00B635C0" w:rsidRPr="00553B0F" w:rsidRDefault="00B635C0" w:rsidP="00886D5F">
            <w:pPr>
              <w:tabs>
                <w:tab w:val="left" w:pos="288"/>
                <w:tab w:val="left" w:pos="576"/>
                <w:tab w:val="left" w:pos="864"/>
                <w:tab w:val="left" w:pos="1152"/>
              </w:tabs>
              <w:spacing w:before="40" w:after="80"/>
              <w:ind w:right="40"/>
            </w:pPr>
            <w:r w:rsidRPr="00553B0F">
              <w:t>Definition of organizational matters and questionnaire</w:t>
            </w:r>
          </w:p>
        </w:tc>
        <w:tc>
          <w:tcPr>
            <w:tcW w:w="2198" w:type="dxa"/>
            <w:shd w:val="clear" w:color="auto" w:fill="auto"/>
          </w:tcPr>
          <w:p w14:paraId="225A3B46" w14:textId="77777777" w:rsidR="00B635C0" w:rsidRPr="00553B0F" w:rsidRDefault="00B635C0" w:rsidP="00886D5F">
            <w:pPr>
              <w:tabs>
                <w:tab w:val="left" w:pos="288"/>
                <w:tab w:val="left" w:pos="576"/>
                <w:tab w:val="left" w:pos="864"/>
                <w:tab w:val="left" w:pos="1152"/>
              </w:tabs>
              <w:spacing w:before="40" w:after="80"/>
              <w:ind w:right="40"/>
            </w:pPr>
            <w:r w:rsidRPr="00553B0F">
              <w:t>Definition of organizational matters and questionnaire</w:t>
            </w:r>
          </w:p>
        </w:tc>
      </w:tr>
      <w:tr w:rsidR="00B635C0" w:rsidRPr="00553B0F" w14:paraId="00C61199" w14:textId="77777777" w:rsidTr="00886D5F">
        <w:trPr>
          <w:trHeight w:val="281"/>
        </w:trPr>
        <w:tc>
          <w:tcPr>
            <w:tcW w:w="616" w:type="dxa"/>
            <w:shd w:val="clear" w:color="auto" w:fill="auto"/>
          </w:tcPr>
          <w:p w14:paraId="0398859D" w14:textId="77777777" w:rsidR="00B635C0" w:rsidRPr="00553B0F" w:rsidRDefault="00B635C0" w:rsidP="00886D5F">
            <w:pPr>
              <w:tabs>
                <w:tab w:val="left" w:pos="288"/>
                <w:tab w:val="left" w:pos="864"/>
                <w:tab w:val="left" w:pos="1152"/>
              </w:tabs>
              <w:spacing w:before="40" w:after="80"/>
            </w:pPr>
            <w:r>
              <w:t>III–</w:t>
            </w:r>
            <w:r w:rsidRPr="00553B0F">
              <w:t>VI</w:t>
            </w:r>
          </w:p>
        </w:tc>
        <w:tc>
          <w:tcPr>
            <w:tcW w:w="2113" w:type="dxa"/>
            <w:shd w:val="clear" w:color="auto" w:fill="auto"/>
          </w:tcPr>
          <w:p w14:paraId="0D4A98B4" w14:textId="77777777" w:rsidR="00B635C0" w:rsidRPr="00553B0F" w:rsidRDefault="00B635C0" w:rsidP="00886D5F">
            <w:pPr>
              <w:tabs>
                <w:tab w:val="left" w:pos="288"/>
                <w:tab w:val="left" w:pos="576"/>
                <w:tab w:val="left" w:pos="864"/>
                <w:tab w:val="left" w:pos="1152"/>
              </w:tabs>
              <w:spacing w:before="40" w:after="80"/>
              <w:ind w:left="84" w:right="-13"/>
            </w:pPr>
            <w:r w:rsidRPr="00553B0F">
              <w:t xml:space="preserve">Criminalization </w:t>
            </w:r>
          </w:p>
        </w:tc>
        <w:tc>
          <w:tcPr>
            <w:tcW w:w="2198" w:type="dxa"/>
            <w:shd w:val="clear" w:color="auto" w:fill="auto"/>
          </w:tcPr>
          <w:p w14:paraId="01D0DB81" w14:textId="77777777" w:rsidR="00B635C0" w:rsidRPr="00553B0F" w:rsidRDefault="00B635C0" w:rsidP="00886D5F">
            <w:pPr>
              <w:tabs>
                <w:tab w:val="left" w:pos="288"/>
                <w:tab w:val="left" w:pos="576"/>
                <w:tab w:val="left" w:pos="864"/>
                <w:tab w:val="left" w:pos="1152"/>
              </w:tabs>
              <w:spacing w:before="40" w:after="80"/>
              <w:ind w:right="40"/>
            </w:pPr>
            <w:r w:rsidRPr="00553B0F">
              <w:t xml:space="preserve">Criminalization </w:t>
            </w:r>
          </w:p>
        </w:tc>
        <w:tc>
          <w:tcPr>
            <w:tcW w:w="2198" w:type="dxa"/>
            <w:shd w:val="clear" w:color="auto" w:fill="auto"/>
          </w:tcPr>
          <w:p w14:paraId="44819A7C" w14:textId="77777777" w:rsidR="00B635C0" w:rsidRPr="00553B0F" w:rsidRDefault="00B635C0" w:rsidP="00886D5F">
            <w:pPr>
              <w:tabs>
                <w:tab w:val="left" w:pos="288"/>
                <w:tab w:val="left" w:pos="576"/>
                <w:tab w:val="left" w:pos="864"/>
                <w:tab w:val="left" w:pos="1152"/>
              </w:tabs>
              <w:spacing w:before="40" w:after="80"/>
              <w:ind w:right="40"/>
            </w:pPr>
            <w:r w:rsidRPr="00553B0F">
              <w:t xml:space="preserve">Criminalization </w:t>
            </w:r>
          </w:p>
        </w:tc>
        <w:tc>
          <w:tcPr>
            <w:tcW w:w="2198" w:type="dxa"/>
            <w:shd w:val="clear" w:color="auto" w:fill="auto"/>
          </w:tcPr>
          <w:p w14:paraId="3B1070D9" w14:textId="77777777" w:rsidR="00B635C0" w:rsidRPr="00553B0F" w:rsidRDefault="00B635C0" w:rsidP="00886D5F">
            <w:pPr>
              <w:tabs>
                <w:tab w:val="left" w:pos="288"/>
                <w:tab w:val="left" w:pos="576"/>
                <w:tab w:val="left" w:pos="864"/>
                <w:tab w:val="left" w:pos="1152"/>
              </w:tabs>
              <w:spacing w:before="40" w:after="80"/>
              <w:ind w:right="40"/>
            </w:pPr>
            <w:r w:rsidRPr="00553B0F">
              <w:t xml:space="preserve">Criminalization </w:t>
            </w:r>
          </w:p>
        </w:tc>
      </w:tr>
      <w:tr w:rsidR="00B635C0" w:rsidRPr="00553B0F" w14:paraId="13376C18" w14:textId="77777777" w:rsidTr="00886D5F">
        <w:trPr>
          <w:trHeight w:val="697"/>
        </w:trPr>
        <w:tc>
          <w:tcPr>
            <w:tcW w:w="616" w:type="dxa"/>
            <w:shd w:val="clear" w:color="auto" w:fill="auto"/>
          </w:tcPr>
          <w:p w14:paraId="499DC91D" w14:textId="77777777" w:rsidR="00B635C0" w:rsidRPr="00553B0F" w:rsidRDefault="00B635C0" w:rsidP="00886D5F">
            <w:pPr>
              <w:tabs>
                <w:tab w:val="left" w:pos="288"/>
                <w:tab w:val="left" w:pos="576"/>
                <w:tab w:val="left" w:pos="864"/>
                <w:tab w:val="left" w:pos="1152"/>
              </w:tabs>
              <w:spacing w:before="40" w:after="80"/>
              <w:ind w:right="40"/>
            </w:pPr>
          </w:p>
        </w:tc>
        <w:tc>
          <w:tcPr>
            <w:tcW w:w="2113" w:type="dxa"/>
            <w:shd w:val="clear" w:color="auto" w:fill="auto"/>
          </w:tcPr>
          <w:p w14:paraId="45392FA8" w14:textId="77777777" w:rsidR="00B635C0" w:rsidRPr="00553B0F" w:rsidRDefault="00B635C0" w:rsidP="00886D5F">
            <w:pPr>
              <w:tabs>
                <w:tab w:val="left" w:pos="288"/>
                <w:tab w:val="left" w:pos="576"/>
                <w:tab w:val="left" w:pos="864"/>
                <w:tab w:val="left" w:pos="1152"/>
              </w:tabs>
              <w:spacing w:before="40" w:after="80"/>
              <w:ind w:left="84" w:right="-13"/>
            </w:pPr>
            <w:r w:rsidRPr="00553B0F">
              <w:t>International cooperation, mutual legal assistance and confiscation</w:t>
            </w:r>
          </w:p>
        </w:tc>
        <w:tc>
          <w:tcPr>
            <w:tcW w:w="2198" w:type="dxa"/>
            <w:shd w:val="clear" w:color="auto" w:fill="auto"/>
          </w:tcPr>
          <w:p w14:paraId="3DE62855" w14:textId="77777777" w:rsidR="00B635C0" w:rsidRPr="00553B0F" w:rsidRDefault="00B635C0" w:rsidP="00886D5F">
            <w:pPr>
              <w:tabs>
                <w:tab w:val="left" w:pos="288"/>
                <w:tab w:val="left" w:pos="576"/>
                <w:tab w:val="left" w:pos="864"/>
                <w:tab w:val="left" w:pos="1152"/>
              </w:tabs>
              <w:spacing w:before="40" w:after="80"/>
              <w:ind w:right="40"/>
            </w:pPr>
            <w:r w:rsidRPr="00553B0F">
              <w:t>International cooperation, mutual legal assistance and confiscation</w:t>
            </w:r>
          </w:p>
        </w:tc>
        <w:tc>
          <w:tcPr>
            <w:tcW w:w="2198" w:type="dxa"/>
            <w:shd w:val="clear" w:color="auto" w:fill="auto"/>
          </w:tcPr>
          <w:p w14:paraId="41A618B9" w14:textId="77777777" w:rsidR="00B635C0" w:rsidRPr="00553B0F" w:rsidRDefault="00B635C0" w:rsidP="00886D5F">
            <w:pPr>
              <w:tabs>
                <w:tab w:val="left" w:pos="288"/>
                <w:tab w:val="left" w:pos="576"/>
                <w:tab w:val="left" w:pos="864"/>
                <w:tab w:val="left" w:pos="1152"/>
              </w:tabs>
              <w:spacing w:before="40" w:after="80"/>
              <w:ind w:right="40"/>
            </w:pPr>
            <w:r w:rsidRPr="00553B0F">
              <w:t>International cooperation, mutual legal assistance and confiscation</w:t>
            </w:r>
          </w:p>
        </w:tc>
        <w:tc>
          <w:tcPr>
            <w:tcW w:w="2198" w:type="dxa"/>
            <w:shd w:val="clear" w:color="auto" w:fill="auto"/>
          </w:tcPr>
          <w:p w14:paraId="1C0F54DD" w14:textId="77777777" w:rsidR="00B635C0" w:rsidRPr="00553B0F" w:rsidRDefault="00B635C0" w:rsidP="00886D5F">
            <w:pPr>
              <w:tabs>
                <w:tab w:val="left" w:pos="288"/>
                <w:tab w:val="left" w:pos="576"/>
                <w:tab w:val="left" w:pos="864"/>
                <w:tab w:val="left" w:pos="1152"/>
              </w:tabs>
              <w:spacing w:before="40" w:after="80"/>
              <w:ind w:right="40"/>
            </w:pPr>
            <w:r w:rsidRPr="00553B0F">
              <w:t>International cooperation, mutual legal assistance and confiscation</w:t>
            </w:r>
          </w:p>
        </w:tc>
      </w:tr>
      <w:tr w:rsidR="00B635C0" w:rsidRPr="00553B0F" w14:paraId="16EC5A1A" w14:textId="77777777" w:rsidTr="00886D5F">
        <w:trPr>
          <w:trHeight w:val="525"/>
        </w:trPr>
        <w:tc>
          <w:tcPr>
            <w:tcW w:w="616" w:type="dxa"/>
            <w:shd w:val="clear" w:color="auto" w:fill="auto"/>
          </w:tcPr>
          <w:p w14:paraId="503A84F9" w14:textId="77777777" w:rsidR="00B635C0" w:rsidRPr="00553B0F" w:rsidRDefault="00B635C0" w:rsidP="00886D5F">
            <w:pPr>
              <w:tabs>
                <w:tab w:val="left" w:pos="288"/>
                <w:tab w:val="left" w:pos="864"/>
                <w:tab w:val="left" w:pos="1152"/>
              </w:tabs>
              <w:spacing w:before="40" w:after="80"/>
              <w:rPr>
                <w:lang w:eastAsia="fr-FR"/>
              </w:rPr>
            </w:pPr>
            <w:r>
              <w:rPr>
                <w:lang w:eastAsia="fr-FR"/>
              </w:rPr>
              <w:t>VII–</w:t>
            </w:r>
            <w:r w:rsidRPr="00553B0F">
              <w:rPr>
                <w:lang w:eastAsia="fr-FR"/>
              </w:rPr>
              <w:t>X</w:t>
            </w:r>
          </w:p>
        </w:tc>
        <w:tc>
          <w:tcPr>
            <w:tcW w:w="2113" w:type="dxa"/>
            <w:shd w:val="clear" w:color="auto" w:fill="auto"/>
          </w:tcPr>
          <w:p w14:paraId="700C1D65" w14:textId="77777777" w:rsidR="00B635C0" w:rsidRPr="00553B0F" w:rsidRDefault="00B635C0" w:rsidP="00886D5F">
            <w:pPr>
              <w:tabs>
                <w:tab w:val="left" w:pos="288"/>
                <w:tab w:val="left" w:pos="576"/>
                <w:tab w:val="left" w:pos="864"/>
                <w:tab w:val="left" w:pos="1152"/>
              </w:tabs>
              <w:spacing w:before="40" w:after="80"/>
              <w:ind w:left="84" w:right="-13"/>
              <w:rPr>
                <w:lang w:eastAsia="fr-FR"/>
              </w:rPr>
            </w:pPr>
            <w:r w:rsidRPr="00553B0F">
              <w:rPr>
                <w:lang w:eastAsia="fr-FR"/>
              </w:rPr>
              <w:t xml:space="preserve">Law enforcement and judicial system </w:t>
            </w:r>
          </w:p>
        </w:tc>
        <w:tc>
          <w:tcPr>
            <w:tcW w:w="2198" w:type="dxa"/>
            <w:shd w:val="clear" w:color="auto" w:fill="auto"/>
          </w:tcPr>
          <w:p w14:paraId="1BD09CD6" w14:textId="77777777" w:rsidR="00B635C0" w:rsidRPr="00553B0F" w:rsidRDefault="00B635C0" w:rsidP="00886D5F">
            <w:pPr>
              <w:tabs>
                <w:tab w:val="left" w:pos="288"/>
                <w:tab w:val="left" w:pos="576"/>
                <w:tab w:val="left" w:pos="864"/>
                <w:tab w:val="left" w:pos="1152"/>
              </w:tabs>
              <w:spacing w:before="40" w:after="80"/>
              <w:ind w:right="40"/>
              <w:rPr>
                <w:lang w:eastAsia="fr-FR"/>
              </w:rPr>
            </w:pPr>
            <w:r w:rsidRPr="00553B0F">
              <w:rPr>
                <w:lang w:eastAsia="fr-FR"/>
              </w:rPr>
              <w:t xml:space="preserve">Law enforcement and judicial system </w:t>
            </w:r>
          </w:p>
        </w:tc>
        <w:tc>
          <w:tcPr>
            <w:tcW w:w="2198" w:type="dxa"/>
            <w:shd w:val="clear" w:color="auto" w:fill="auto"/>
          </w:tcPr>
          <w:p w14:paraId="2D1D7C02" w14:textId="77777777" w:rsidR="00B635C0" w:rsidRPr="00553B0F" w:rsidRDefault="00B635C0" w:rsidP="00886D5F">
            <w:pPr>
              <w:tabs>
                <w:tab w:val="left" w:pos="288"/>
                <w:tab w:val="left" w:pos="576"/>
                <w:tab w:val="left" w:pos="864"/>
                <w:tab w:val="left" w:pos="1152"/>
              </w:tabs>
              <w:spacing w:before="40" w:after="80"/>
              <w:ind w:right="40"/>
              <w:rPr>
                <w:lang w:eastAsia="fr-FR"/>
              </w:rPr>
            </w:pPr>
            <w:r w:rsidRPr="00553B0F">
              <w:rPr>
                <w:lang w:eastAsia="fr-FR"/>
              </w:rPr>
              <w:t>Law enforcement and judicial system</w:t>
            </w:r>
          </w:p>
        </w:tc>
        <w:tc>
          <w:tcPr>
            <w:tcW w:w="2198" w:type="dxa"/>
            <w:shd w:val="clear" w:color="auto" w:fill="auto"/>
          </w:tcPr>
          <w:p w14:paraId="5F2B3064" w14:textId="77777777" w:rsidR="00B635C0" w:rsidRPr="00553B0F" w:rsidRDefault="00B635C0" w:rsidP="00886D5F">
            <w:pPr>
              <w:tabs>
                <w:tab w:val="left" w:pos="288"/>
                <w:tab w:val="left" w:pos="576"/>
                <w:tab w:val="left" w:pos="864"/>
                <w:tab w:val="left" w:pos="1152"/>
              </w:tabs>
              <w:spacing w:before="40" w:after="80"/>
              <w:ind w:right="40"/>
              <w:rPr>
                <w:lang w:eastAsia="fr-FR"/>
              </w:rPr>
            </w:pPr>
            <w:r w:rsidRPr="00553B0F">
              <w:rPr>
                <w:lang w:eastAsia="fr-FR"/>
              </w:rPr>
              <w:t>Law enforcement and judicial system</w:t>
            </w:r>
          </w:p>
        </w:tc>
      </w:tr>
      <w:tr w:rsidR="00B635C0" w:rsidRPr="00553B0F" w14:paraId="7DCF7B87" w14:textId="77777777" w:rsidTr="00886D5F">
        <w:trPr>
          <w:trHeight w:val="144"/>
        </w:trPr>
        <w:tc>
          <w:tcPr>
            <w:tcW w:w="616" w:type="dxa"/>
            <w:tcBorders>
              <w:bottom w:val="single" w:sz="12" w:space="0" w:color="auto"/>
            </w:tcBorders>
            <w:shd w:val="clear" w:color="auto" w:fill="auto"/>
          </w:tcPr>
          <w:p w14:paraId="04494EE5" w14:textId="77777777" w:rsidR="00B635C0" w:rsidRPr="00553B0F" w:rsidRDefault="00B635C0" w:rsidP="00886D5F">
            <w:pPr>
              <w:tabs>
                <w:tab w:val="left" w:pos="288"/>
                <w:tab w:val="left" w:pos="576"/>
                <w:tab w:val="left" w:pos="864"/>
                <w:tab w:val="left" w:pos="1152"/>
              </w:tabs>
              <w:spacing w:before="40" w:after="80"/>
              <w:ind w:right="40"/>
              <w:rPr>
                <w:lang w:eastAsia="fr-FR"/>
              </w:rPr>
            </w:pPr>
          </w:p>
        </w:tc>
        <w:tc>
          <w:tcPr>
            <w:tcW w:w="2113" w:type="dxa"/>
            <w:tcBorders>
              <w:bottom w:val="single" w:sz="12" w:space="0" w:color="auto"/>
            </w:tcBorders>
            <w:shd w:val="clear" w:color="auto" w:fill="auto"/>
          </w:tcPr>
          <w:p w14:paraId="0B646A8E" w14:textId="77777777" w:rsidR="00B635C0" w:rsidRPr="00553B0F" w:rsidRDefault="00B635C0" w:rsidP="00886D5F">
            <w:pPr>
              <w:tabs>
                <w:tab w:val="left" w:pos="288"/>
                <w:tab w:val="left" w:pos="576"/>
                <w:tab w:val="left" w:pos="864"/>
                <w:tab w:val="left" w:pos="1152"/>
              </w:tabs>
              <w:spacing w:before="40" w:after="80"/>
              <w:ind w:left="84" w:right="-13"/>
              <w:rPr>
                <w:lang w:eastAsia="fr-FR"/>
              </w:rPr>
            </w:pPr>
            <w:r w:rsidRPr="00553B0F">
              <w:rPr>
                <w:lang w:eastAsia="fr-FR"/>
              </w:rPr>
              <w:t>Prevention, assistance, protection measures and other measures</w:t>
            </w:r>
          </w:p>
        </w:tc>
        <w:tc>
          <w:tcPr>
            <w:tcW w:w="2198" w:type="dxa"/>
            <w:tcBorders>
              <w:bottom w:val="single" w:sz="12" w:space="0" w:color="auto"/>
            </w:tcBorders>
            <w:shd w:val="clear" w:color="auto" w:fill="auto"/>
          </w:tcPr>
          <w:p w14:paraId="26588861" w14:textId="77777777" w:rsidR="00B635C0" w:rsidRPr="00553B0F" w:rsidRDefault="00B635C0" w:rsidP="00886D5F">
            <w:pPr>
              <w:tabs>
                <w:tab w:val="left" w:pos="288"/>
                <w:tab w:val="left" w:pos="576"/>
                <w:tab w:val="left" w:pos="864"/>
                <w:tab w:val="left" w:pos="1152"/>
              </w:tabs>
              <w:spacing w:before="40" w:after="80"/>
              <w:ind w:right="40"/>
              <w:rPr>
                <w:lang w:eastAsia="fr-FR"/>
              </w:rPr>
            </w:pPr>
            <w:r w:rsidRPr="00553B0F">
              <w:rPr>
                <w:lang w:eastAsia="fr-FR"/>
              </w:rPr>
              <w:t xml:space="preserve">Prevention, assistance, protection measures </w:t>
            </w:r>
            <w:r w:rsidRPr="00553B0F">
              <w:rPr>
                <w:lang w:eastAsia="fr-FR"/>
              </w:rPr>
              <w:br/>
              <w:t>and other measures</w:t>
            </w:r>
          </w:p>
        </w:tc>
        <w:tc>
          <w:tcPr>
            <w:tcW w:w="2198" w:type="dxa"/>
            <w:tcBorders>
              <w:bottom w:val="single" w:sz="12" w:space="0" w:color="auto"/>
            </w:tcBorders>
            <w:shd w:val="clear" w:color="auto" w:fill="auto"/>
          </w:tcPr>
          <w:p w14:paraId="2D74ACF5" w14:textId="77777777" w:rsidR="00B635C0" w:rsidRPr="00553B0F" w:rsidRDefault="00B635C0" w:rsidP="00886D5F">
            <w:pPr>
              <w:tabs>
                <w:tab w:val="left" w:pos="288"/>
                <w:tab w:val="left" w:pos="576"/>
                <w:tab w:val="left" w:pos="864"/>
                <w:tab w:val="left" w:pos="1152"/>
              </w:tabs>
              <w:spacing w:before="40" w:after="80"/>
              <w:ind w:right="40"/>
              <w:rPr>
                <w:lang w:eastAsia="fr-FR"/>
              </w:rPr>
            </w:pPr>
            <w:r w:rsidRPr="00553B0F">
              <w:rPr>
                <w:lang w:eastAsia="fr-FR"/>
              </w:rPr>
              <w:t xml:space="preserve">Prevention, assistance, protection measures </w:t>
            </w:r>
            <w:r w:rsidRPr="00553B0F">
              <w:rPr>
                <w:lang w:eastAsia="fr-FR"/>
              </w:rPr>
              <w:br/>
              <w:t>and other measures</w:t>
            </w:r>
          </w:p>
        </w:tc>
        <w:tc>
          <w:tcPr>
            <w:tcW w:w="2198" w:type="dxa"/>
            <w:tcBorders>
              <w:bottom w:val="single" w:sz="12" w:space="0" w:color="auto"/>
            </w:tcBorders>
            <w:shd w:val="clear" w:color="auto" w:fill="auto"/>
          </w:tcPr>
          <w:p w14:paraId="701C03ED" w14:textId="77777777" w:rsidR="00B635C0" w:rsidRPr="00553B0F" w:rsidRDefault="00B635C0" w:rsidP="00886D5F">
            <w:pPr>
              <w:tabs>
                <w:tab w:val="left" w:pos="288"/>
                <w:tab w:val="left" w:pos="576"/>
                <w:tab w:val="left" w:pos="864"/>
                <w:tab w:val="left" w:pos="1152"/>
              </w:tabs>
              <w:spacing w:before="40" w:after="80"/>
              <w:ind w:right="40"/>
              <w:rPr>
                <w:lang w:eastAsia="fr-FR"/>
              </w:rPr>
            </w:pPr>
            <w:r w:rsidRPr="00553B0F">
              <w:rPr>
                <w:lang w:eastAsia="fr-FR"/>
              </w:rPr>
              <w:t xml:space="preserve">Prevention, assistance, protection measures </w:t>
            </w:r>
            <w:r w:rsidRPr="00553B0F">
              <w:rPr>
                <w:lang w:eastAsia="fr-FR"/>
              </w:rPr>
              <w:br/>
              <w:t>and other measures</w:t>
            </w:r>
          </w:p>
        </w:tc>
      </w:tr>
    </w:tbl>
    <w:p w14:paraId="1BC2E18E" w14:textId="77777777" w:rsidR="00B635C0" w:rsidRPr="00553B0F" w:rsidRDefault="00B635C0" w:rsidP="00B635C0">
      <w:pPr>
        <w:pStyle w:val="SingleTxt"/>
        <w:spacing w:after="0" w:line="120" w:lineRule="atLeast"/>
        <w:rPr>
          <w:sz w:val="10"/>
        </w:rPr>
      </w:pPr>
    </w:p>
    <w:p w14:paraId="1E53D3A3" w14:textId="77777777" w:rsidR="00B635C0" w:rsidRPr="00553B0F" w:rsidRDefault="00B635C0" w:rsidP="00B635C0">
      <w:pPr>
        <w:pStyle w:val="FootnoteText"/>
        <w:tabs>
          <w:tab w:val="clear" w:pos="418"/>
          <w:tab w:val="right" w:pos="1476"/>
          <w:tab w:val="left" w:pos="1548"/>
          <w:tab w:val="right" w:pos="1836"/>
          <w:tab w:val="left" w:pos="1908"/>
        </w:tabs>
        <w:ind w:left="1548" w:right="1267" w:hanging="288"/>
      </w:pPr>
      <w:r w:rsidRPr="00553B0F">
        <w:tab/>
      </w:r>
      <w:proofErr w:type="spellStart"/>
      <w:r w:rsidRPr="00553B0F">
        <w:rPr>
          <w:vertAlign w:val="superscript"/>
        </w:rPr>
        <w:t>a</w:t>
      </w:r>
      <w:proofErr w:type="spellEnd"/>
      <w:r w:rsidRPr="00553B0F">
        <w:tab/>
        <w:t>The Working Group on International Cooperation and the Working Group of Government Experts on Technical Assistance.</w:t>
      </w:r>
    </w:p>
    <w:p w14:paraId="10EADFE5" w14:textId="77777777" w:rsidR="00B635C0" w:rsidRPr="00553B0F" w:rsidRDefault="00B635C0" w:rsidP="00B635C0">
      <w:pPr>
        <w:pStyle w:val="SingleTxt"/>
        <w:spacing w:after="0" w:line="120" w:lineRule="atLeast"/>
        <w:rPr>
          <w:sz w:val="10"/>
        </w:rPr>
      </w:pPr>
    </w:p>
    <w:p w14:paraId="1D9C1934" w14:textId="77777777" w:rsidR="00B635C0" w:rsidRPr="00553B0F" w:rsidRDefault="00B635C0" w:rsidP="00B635C0">
      <w:pPr>
        <w:pStyle w:val="SingleTxt"/>
        <w:ind w:left="1267" w:right="1267" w:hanging="1267"/>
      </w:pPr>
    </w:p>
    <w:p w14:paraId="0C498D61" w14:textId="1ABA8FC4" w:rsidR="0022013F" w:rsidRPr="00B635C0" w:rsidRDefault="00B635C0" w:rsidP="009B00F0">
      <w:pPr>
        <w:pStyle w:val="SingleTxt"/>
      </w:pPr>
      <w:r w:rsidRPr="00A02AE5">
        <w:rPr>
          <w:noProof/>
          <w:w w:val="100"/>
          <w:lang w:eastAsia="zh-CN"/>
        </w:rPr>
        <mc:AlternateContent>
          <mc:Choice Requires="wps">
            <w:drawing>
              <wp:anchor distT="0" distB="0" distL="114300" distR="114300" simplePos="0" relativeHeight="251659264" behindDoc="0" locked="0" layoutInCell="1" allowOverlap="1" wp14:anchorId="022A059C" wp14:editId="7E4B3337">
                <wp:simplePos x="0" y="0"/>
                <wp:positionH relativeFrom="column">
                  <wp:posOffset>2663687</wp:posOffset>
                </wp:positionH>
                <wp:positionV relativeFrom="paragraph">
                  <wp:posOffset>174929</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51B0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9.75pt,13.75pt" to="28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" strokecolor="#010000" strokeweight=".25pt"/>
            </w:pict>
          </mc:Fallback>
        </mc:AlternateContent>
      </w:r>
    </w:p>
    <w:sectPr w:rsidR="0022013F" w:rsidRPr="00B635C0" w:rsidSect="00DC3CC0">
      <w:headerReference w:type="even" r:id="rId14"/>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0BC4" w14:textId="77777777" w:rsidR="00D46ACA" w:rsidRDefault="00D46ACA" w:rsidP="00556720">
      <w:r>
        <w:separator/>
      </w:r>
    </w:p>
  </w:endnote>
  <w:endnote w:type="continuationSeparator" w:id="0">
    <w:p w14:paraId="41653D82" w14:textId="77777777" w:rsidR="00D46ACA" w:rsidRDefault="00D46AC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22013F" w14:paraId="264B2698" w14:textId="77777777" w:rsidTr="0022013F">
      <w:trPr>
        <w:jc w:val="center"/>
      </w:trPr>
      <w:tc>
        <w:tcPr>
          <w:tcW w:w="4922" w:type="dxa"/>
          <w:shd w:val="clear" w:color="auto" w:fill="auto"/>
        </w:tcPr>
        <w:p w14:paraId="1EE6D1BC" w14:textId="4F459142" w:rsidR="0022013F" w:rsidRPr="0022013F" w:rsidRDefault="0022013F" w:rsidP="0022013F">
          <w:pPr>
            <w:pStyle w:val="Footer"/>
            <w:jc w:val="right"/>
            <w:rPr>
              <w:b w:val="0"/>
              <w:w w:val="103"/>
              <w:sz w:val="14"/>
            </w:rPr>
          </w:pPr>
        </w:p>
      </w:tc>
      <w:tc>
        <w:tcPr>
          <w:tcW w:w="4923" w:type="dxa"/>
          <w:shd w:val="clear" w:color="auto" w:fill="auto"/>
        </w:tcPr>
        <w:p w14:paraId="1808D7CA" w14:textId="26EBADE5" w:rsidR="0022013F" w:rsidRPr="0022013F" w:rsidRDefault="0022013F" w:rsidP="0022013F">
          <w:pPr>
            <w:pStyle w:val="Footer"/>
            <w:rPr>
              <w:w w:val="103"/>
            </w:rPr>
          </w:pPr>
          <w:r>
            <w:rPr>
              <w:w w:val="103"/>
            </w:rPr>
            <w:fldChar w:fldCharType="begin"/>
          </w:r>
          <w:r>
            <w:rPr>
              <w:w w:val="103"/>
            </w:rPr>
            <w:instrText xml:space="preserve"> PAGE  \* Arabic  \* MERGEFORMAT </w:instrText>
          </w:r>
          <w:r>
            <w:rPr>
              <w:w w:val="103"/>
            </w:rPr>
            <w:fldChar w:fldCharType="separate"/>
          </w:r>
          <w:r w:rsidR="004E2CF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2CF0">
            <w:rPr>
              <w:w w:val="103"/>
            </w:rPr>
            <w:t>8</w:t>
          </w:r>
          <w:r>
            <w:rPr>
              <w:w w:val="103"/>
            </w:rPr>
            <w:fldChar w:fldCharType="end"/>
          </w:r>
        </w:p>
      </w:tc>
    </w:tr>
  </w:tbl>
  <w:p w14:paraId="2C145044" w14:textId="77777777" w:rsidR="0022013F" w:rsidRPr="0022013F" w:rsidRDefault="0022013F" w:rsidP="0022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22013F" w14:paraId="02D83E4A" w14:textId="77777777" w:rsidTr="0022013F">
      <w:trPr>
        <w:jc w:val="center"/>
      </w:trPr>
      <w:tc>
        <w:tcPr>
          <w:tcW w:w="4922" w:type="dxa"/>
          <w:shd w:val="clear" w:color="auto" w:fill="auto"/>
        </w:tcPr>
        <w:p w14:paraId="2402D197" w14:textId="683F073A" w:rsidR="0022013F" w:rsidRPr="0022013F" w:rsidRDefault="0022013F" w:rsidP="002201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B36DE">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36DE">
            <w:rPr>
              <w:w w:val="103"/>
            </w:rPr>
            <w:t>8</w:t>
          </w:r>
          <w:r>
            <w:rPr>
              <w:w w:val="103"/>
            </w:rPr>
            <w:fldChar w:fldCharType="end"/>
          </w:r>
        </w:p>
      </w:tc>
      <w:tc>
        <w:tcPr>
          <w:tcW w:w="4923" w:type="dxa"/>
          <w:shd w:val="clear" w:color="auto" w:fill="auto"/>
        </w:tcPr>
        <w:p w14:paraId="1B2F5B8F" w14:textId="004EA462" w:rsidR="0022013F" w:rsidRPr="0022013F" w:rsidRDefault="0022013F" w:rsidP="0022013F">
          <w:pPr>
            <w:pStyle w:val="Footer"/>
            <w:rPr>
              <w:b w:val="0"/>
              <w:w w:val="103"/>
              <w:sz w:val="14"/>
            </w:rPr>
          </w:pPr>
        </w:p>
      </w:tc>
    </w:tr>
  </w:tbl>
  <w:p w14:paraId="3CDA5F58" w14:textId="77777777" w:rsidR="0022013F" w:rsidRPr="0022013F" w:rsidRDefault="0022013F" w:rsidP="0022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4923"/>
    </w:tblGrid>
    <w:tr w:rsidR="0022013F" w14:paraId="283D6BD7" w14:textId="77777777" w:rsidTr="0022013F">
      <w:tc>
        <w:tcPr>
          <w:tcW w:w="3859" w:type="dxa"/>
        </w:tcPr>
        <w:p w14:paraId="2A162230" w14:textId="7483888E" w:rsidR="0022013F" w:rsidRPr="0022013F" w:rsidRDefault="0022013F" w:rsidP="0022013F">
          <w:pPr>
            <w:pStyle w:val="Footer"/>
            <w:spacing w:before="120" w:line="210" w:lineRule="atLeast"/>
            <w:rPr>
              <w:rFonts w:ascii="Barcode 3 of 9 by request" w:hAnsi="Barcode 3 of 9 by request"/>
              <w:b w:val="0"/>
              <w:color w:val="010000"/>
              <w:sz w:val="24"/>
            </w:rPr>
          </w:pPr>
        </w:p>
      </w:tc>
      <w:tc>
        <w:tcPr>
          <w:tcW w:w="4923" w:type="dxa"/>
        </w:tcPr>
        <w:p w14:paraId="2E2A4FA0" w14:textId="55075045" w:rsidR="0022013F" w:rsidRDefault="0022013F" w:rsidP="0022013F">
          <w:pPr>
            <w:pStyle w:val="Footer"/>
            <w:jc w:val="right"/>
            <w:rPr>
              <w:b w:val="0"/>
              <w:sz w:val="20"/>
            </w:rPr>
          </w:pPr>
        </w:p>
      </w:tc>
    </w:tr>
  </w:tbl>
  <w:p w14:paraId="575EF238" w14:textId="77777777" w:rsidR="0022013F" w:rsidRPr="0022013F" w:rsidRDefault="0022013F" w:rsidP="001C097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129E" w14:textId="17FDECC8" w:rsidR="00D46ACA" w:rsidRPr="00DC3CC0" w:rsidRDefault="00DC3CC0" w:rsidP="00DC3CC0">
      <w:pPr>
        <w:pStyle w:val="Footer"/>
        <w:spacing w:after="80"/>
        <w:ind w:left="792"/>
        <w:rPr>
          <w:sz w:val="16"/>
        </w:rPr>
      </w:pPr>
      <w:r w:rsidRPr="00DC3CC0">
        <w:rPr>
          <w:sz w:val="16"/>
        </w:rPr>
        <w:t>__________________</w:t>
      </w:r>
    </w:p>
  </w:footnote>
  <w:footnote w:type="continuationSeparator" w:id="0">
    <w:p w14:paraId="6311AFEF" w14:textId="571BE966" w:rsidR="00D46ACA" w:rsidRPr="00DC3CC0" w:rsidRDefault="00DC3CC0" w:rsidP="00DC3CC0">
      <w:pPr>
        <w:pStyle w:val="Footer"/>
        <w:spacing w:after="80"/>
        <w:ind w:left="792"/>
        <w:rPr>
          <w:sz w:val="16"/>
        </w:rPr>
      </w:pPr>
      <w:r w:rsidRPr="00DC3CC0">
        <w:rPr>
          <w:sz w:val="16"/>
        </w:rPr>
        <w:t>__________________</w:t>
      </w:r>
    </w:p>
  </w:footnote>
  <w:footnote w:id="1">
    <w:p w14:paraId="7073CB24" w14:textId="67D5E457" w:rsidR="00CB0600" w:rsidRPr="00750285" w:rsidRDefault="009B00F0" w:rsidP="009B00F0">
      <w:pPr>
        <w:pStyle w:val="FootnoteText"/>
        <w:tabs>
          <w:tab w:val="clear" w:pos="418"/>
          <w:tab w:val="right" w:pos="1195"/>
          <w:tab w:val="left" w:pos="1267"/>
          <w:tab w:val="left" w:pos="1742"/>
          <w:tab w:val="left" w:pos="2218"/>
          <w:tab w:val="left" w:pos="2693"/>
        </w:tabs>
        <w:ind w:left="1267" w:right="1260" w:hanging="432"/>
      </w:pPr>
      <w:r>
        <w:tab/>
      </w:r>
      <w:r w:rsidR="00CB0600">
        <w:rPr>
          <w:rStyle w:val="FootnoteReference"/>
        </w:rPr>
        <w:footnoteRef/>
      </w:r>
      <w:r w:rsidR="00CB0600">
        <w:t xml:space="preserve"> </w:t>
      </w:r>
      <w:r>
        <w:tab/>
      </w:r>
      <w:r w:rsidR="00CB0600" w:rsidRPr="00B220A3">
        <w:t xml:space="preserve">United Nations, </w:t>
      </w:r>
      <w:r w:rsidR="00CB0600" w:rsidRPr="00017838">
        <w:rPr>
          <w:i/>
        </w:rPr>
        <w:t>Treaty Series</w:t>
      </w:r>
      <w:r w:rsidR="00CB0600" w:rsidRPr="00B220A3">
        <w:t>, vols. 2225, 2237, 2241 and 2326, No. 39574.</w:t>
      </w:r>
    </w:p>
  </w:footnote>
  <w:footnote w:id="2">
    <w:p w14:paraId="25450A35" w14:textId="59166F97" w:rsidR="00CB0600" w:rsidRDefault="009B00F0" w:rsidP="009B00F0">
      <w:pPr>
        <w:pStyle w:val="FootnoteText"/>
        <w:tabs>
          <w:tab w:val="clear" w:pos="418"/>
          <w:tab w:val="right" w:pos="1195"/>
          <w:tab w:val="left" w:pos="1267"/>
          <w:tab w:val="left" w:pos="1742"/>
          <w:tab w:val="left" w:pos="2218"/>
          <w:tab w:val="left" w:pos="2693"/>
        </w:tabs>
        <w:ind w:left="1267" w:right="1260" w:hanging="432"/>
      </w:pPr>
      <w:r>
        <w:tab/>
      </w:r>
      <w:r w:rsidR="00CB0600">
        <w:rPr>
          <w:rStyle w:val="FootnoteReference"/>
        </w:rPr>
        <w:footnoteRef/>
      </w:r>
      <w:r w:rsidR="00CB0600">
        <w:t xml:space="preserve"> </w:t>
      </w:r>
      <w:r>
        <w:tab/>
      </w:r>
      <w:r w:rsidR="00CB0600">
        <w:t xml:space="preserve">Resolution 9/1 of the Conference of the Parties to the </w:t>
      </w:r>
      <w:r w:rsidR="00CB0600" w:rsidRPr="005131B3">
        <w:t>United Nations Convention against Transnational Organized Crime and the Protocols thereto</w:t>
      </w:r>
      <w:r w:rsidR="00CB0600">
        <w:t>, Annex.</w:t>
      </w:r>
    </w:p>
  </w:footnote>
  <w:footnote w:id="3">
    <w:p w14:paraId="1748C799" w14:textId="22DFE878" w:rsidR="00692FB6" w:rsidRPr="00A91881" w:rsidRDefault="00BC737D" w:rsidP="009B00F0">
      <w:pPr>
        <w:pStyle w:val="FootnoteText"/>
        <w:tabs>
          <w:tab w:val="clear" w:pos="418"/>
          <w:tab w:val="right" w:pos="1195"/>
          <w:tab w:val="left" w:pos="1267"/>
          <w:tab w:val="left" w:pos="1742"/>
          <w:tab w:val="left" w:pos="2218"/>
          <w:tab w:val="left" w:pos="2693"/>
        </w:tabs>
        <w:ind w:left="1267" w:right="1260" w:hanging="432"/>
        <w:rPr>
          <w:sz w:val="16"/>
          <w:szCs w:val="16"/>
        </w:rPr>
      </w:pPr>
      <w:r>
        <w:tab/>
      </w:r>
      <w:r w:rsidR="00692FB6" w:rsidRPr="00A91881">
        <w:rPr>
          <w:rStyle w:val="FootnoteReference"/>
          <w:sz w:val="16"/>
          <w:szCs w:val="16"/>
        </w:rPr>
        <w:footnoteRef/>
      </w:r>
      <w:r w:rsidR="00692FB6" w:rsidRPr="00A91881">
        <w:rPr>
          <w:sz w:val="16"/>
          <w:szCs w:val="16"/>
        </w:rPr>
        <w:t xml:space="preserve"> </w:t>
      </w:r>
      <w:r w:rsidR="009B00F0">
        <w:rPr>
          <w:sz w:val="16"/>
          <w:szCs w:val="16"/>
        </w:rPr>
        <w:tab/>
      </w:r>
      <w:r w:rsidR="00692FB6" w:rsidRPr="00A91881">
        <w:rPr>
          <w:sz w:val="16"/>
          <w:szCs w:val="16"/>
        </w:rPr>
        <w:t xml:space="preserve">United Nations, </w:t>
      </w:r>
      <w:r w:rsidR="00692FB6" w:rsidRPr="00A91881">
        <w:rPr>
          <w:i/>
          <w:sz w:val="16"/>
          <w:szCs w:val="16"/>
        </w:rPr>
        <w:t>Treaty Series</w:t>
      </w:r>
      <w:r w:rsidR="00692FB6" w:rsidRPr="00A91881">
        <w:rPr>
          <w:sz w:val="16"/>
          <w:szCs w:val="16"/>
        </w:rPr>
        <w:t>, vol. 2349, No. 42146.</w:t>
      </w:r>
    </w:p>
  </w:footnote>
  <w:footnote w:id="4">
    <w:p w14:paraId="444E312C" w14:textId="240F517F" w:rsidR="00BF2EEB" w:rsidRPr="00A91881" w:rsidRDefault="00BC737D" w:rsidP="009B00F0">
      <w:pPr>
        <w:pStyle w:val="FootnoteText"/>
        <w:tabs>
          <w:tab w:val="clear" w:pos="418"/>
          <w:tab w:val="right" w:pos="1195"/>
          <w:tab w:val="left" w:pos="1267"/>
          <w:tab w:val="left" w:pos="1742"/>
          <w:tab w:val="left" w:pos="2218"/>
          <w:tab w:val="left" w:pos="2693"/>
        </w:tabs>
        <w:ind w:left="1267" w:right="1260" w:hanging="432"/>
        <w:rPr>
          <w:sz w:val="16"/>
          <w:szCs w:val="16"/>
        </w:rPr>
      </w:pPr>
      <w:r>
        <w:tab/>
      </w:r>
      <w:r w:rsidR="00BF2EEB" w:rsidRPr="00A91881">
        <w:rPr>
          <w:rStyle w:val="FootnoteReference"/>
          <w:sz w:val="16"/>
          <w:szCs w:val="16"/>
        </w:rPr>
        <w:footnoteRef/>
      </w:r>
      <w:r w:rsidR="00BF2EEB" w:rsidRPr="00A91881">
        <w:rPr>
          <w:sz w:val="16"/>
          <w:szCs w:val="16"/>
        </w:rPr>
        <w:t xml:space="preserve"> </w:t>
      </w:r>
      <w:r w:rsidR="009B00F0">
        <w:rPr>
          <w:sz w:val="16"/>
          <w:szCs w:val="16"/>
        </w:rPr>
        <w:tab/>
      </w:r>
      <w:r w:rsidR="00BF2EEB" w:rsidRPr="00A91881">
        <w:rPr>
          <w:sz w:val="16"/>
          <w:szCs w:val="16"/>
        </w:rPr>
        <w:t xml:space="preserve">Available at </w:t>
      </w:r>
      <w:hyperlink r:id="rId1" w:history="1">
        <w:r w:rsidR="00BF2EEB" w:rsidRPr="00A91881">
          <w:rPr>
            <w:rStyle w:val="Hyperlink"/>
            <w:sz w:val="16"/>
            <w:szCs w:val="16"/>
          </w:rPr>
          <w:t>http://www.unodc.org/unodc/en/treaties/CTOC/legislative-guide.html</w:t>
        </w:r>
      </w:hyperlink>
      <w:r w:rsidR="00BF2EEB" w:rsidRPr="00A91881">
        <w:rPr>
          <w:sz w:val="16"/>
          <w:szCs w:val="16"/>
        </w:rPr>
        <w:t>.</w:t>
      </w:r>
    </w:p>
  </w:footnote>
  <w:footnote w:id="5">
    <w:p w14:paraId="3BF91454" w14:textId="21E60D95" w:rsidR="00BF2EEB" w:rsidRDefault="00BC737D" w:rsidP="009B00F0">
      <w:pPr>
        <w:pStyle w:val="FootnoteText"/>
        <w:tabs>
          <w:tab w:val="clear" w:pos="418"/>
          <w:tab w:val="right" w:pos="1195"/>
          <w:tab w:val="left" w:pos="1267"/>
          <w:tab w:val="left" w:pos="1742"/>
          <w:tab w:val="left" w:pos="2218"/>
          <w:tab w:val="left" w:pos="2693"/>
        </w:tabs>
        <w:ind w:left="1267" w:right="1260" w:hanging="432"/>
      </w:pPr>
      <w:r w:rsidRPr="00A91881">
        <w:rPr>
          <w:sz w:val="16"/>
          <w:szCs w:val="16"/>
        </w:rPr>
        <w:tab/>
      </w:r>
      <w:r w:rsidR="00BF2EEB" w:rsidRPr="00A91881">
        <w:rPr>
          <w:rStyle w:val="FootnoteReference"/>
          <w:sz w:val="16"/>
          <w:szCs w:val="16"/>
        </w:rPr>
        <w:footnoteRef/>
      </w:r>
      <w:r w:rsidR="00BF2EEB" w:rsidRPr="00A91881">
        <w:rPr>
          <w:sz w:val="16"/>
          <w:szCs w:val="16"/>
        </w:rPr>
        <w:t xml:space="preserve"> </w:t>
      </w:r>
      <w:r w:rsidR="009B00F0">
        <w:rPr>
          <w:sz w:val="16"/>
          <w:szCs w:val="16"/>
        </w:rPr>
        <w:tab/>
      </w:r>
      <w:r w:rsidR="00BF2EEB" w:rsidRPr="00A91881">
        <w:rPr>
          <w:sz w:val="16"/>
          <w:szCs w:val="16"/>
        </w:rPr>
        <w:t xml:space="preserve">United Nations publication Sales </w:t>
      </w:r>
      <w:r w:rsidRPr="00A91881">
        <w:rPr>
          <w:sz w:val="16"/>
          <w:szCs w:val="16"/>
        </w:rPr>
        <w:t xml:space="preserve">No. E.06.V.5. Also available at </w:t>
      </w:r>
      <w:r w:rsidR="00BF2EEB" w:rsidRPr="00A91881">
        <w:rPr>
          <w:sz w:val="16"/>
          <w:szCs w:val="16"/>
        </w:rPr>
        <w:t>http://www.unodc.org/unodc/en/treaties/CTOC/travaux-preparatoires.html.</w:t>
      </w:r>
    </w:p>
  </w:footnote>
  <w:footnote w:id="6">
    <w:p w14:paraId="1F837C21" w14:textId="78A785B1" w:rsidR="00BF2EEB" w:rsidRPr="00A91881" w:rsidRDefault="009B00F0" w:rsidP="009B00F0">
      <w:pPr>
        <w:pStyle w:val="FootnoteText"/>
        <w:tabs>
          <w:tab w:val="clear" w:pos="418"/>
          <w:tab w:val="right" w:pos="1195"/>
          <w:tab w:val="left" w:pos="1267"/>
          <w:tab w:val="left" w:pos="1742"/>
          <w:tab w:val="left" w:pos="2218"/>
          <w:tab w:val="left" w:pos="2693"/>
        </w:tabs>
        <w:ind w:left="1267" w:right="1260" w:hanging="432"/>
        <w:rPr>
          <w:sz w:val="16"/>
          <w:szCs w:val="16"/>
        </w:rPr>
      </w:pPr>
      <w:r>
        <w:tab/>
      </w:r>
      <w:r w:rsidR="00BF2EEB" w:rsidRPr="009B00F0">
        <w:rPr>
          <w:rStyle w:val="FootnoteReference"/>
        </w:rPr>
        <w:footnoteRef/>
      </w:r>
      <w:r w:rsidR="00BF2EEB" w:rsidRPr="00A91881">
        <w:rPr>
          <w:sz w:val="16"/>
          <w:szCs w:val="16"/>
        </w:rPr>
        <w:t xml:space="preserve"> </w:t>
      </w:r>
      <w:r>
        <w:rPr>
          <w:sz w:val="16"/>
          <w:szCs w:val="16"/>
        </w:rPr>
        <w:tab/>
      </w:r>
      <w:r w:rsidR="00BF2EEB" w:rsidRPr="00A91881">
        <w:rPr>
          <w:sz w:val="16"/>
          <w:szCs w:val="16"/>
        </w:rPr>
        <w:t>The Secretariat proposes to include word limits in paragraphs 23 and 28 of the present Guidelines in order to facilitate the work of the reviewers and the timely preparation of the lists of observations and summaries.</w:t>
      </w:r>
    </w:p>
  </w:footnote>
  <w:footnote w:id="7">
    <w:p w14:paraId="0479CA6E" w14:textId="212CC237" w:rsidR="002A4A1A" w:rsidRPr="00807DA2" w:rsidRDefault="009B00F0" w:rsidP="009B00F0">
      <w:pPr>
        <w:pStyle w:val="FootnoteText"/>
        <w:tabs>
          <w:tab w:val="clear" w:pos="418"/>
          <w:tab w:val="right" w:pos="1195"/>
          <w:tab w:val="left" w:pos="1267"/>
          <w:tab w:val="left" w:pos="1742"/>
          <w:tab w:val="left" w:pos="2218"/>
          <w:tab w:val="left" w:pos="2693"/>
        </w:tabs>
        <w:ind w:left="1267" w:right="1260" w:hanging="432"/>
        <w:rPr>
          <w:sz w:val="16"/>
          <w:szCs w:val="16"/>
        </w:rPr>
      </w:pPr>
      <w:r>
        <w:tab/>
      </w:r>
      <w:r w:rsidR="002A4A1A">
        <w:rPr>
          <w:rStyle w:val="FootnoteReference"/>
        </w:rPr>
        <w:footnoteRef/>
      </w:r>
      <w:r w:rsidR="002A4A1A">
        <w:t xml:space="preserve"> </w:t>
      </w:r>
      <w:r w:rsidR="002A4A1A">
        <w:tab/>
      </w:r>
      <w:r w:rsidR="002A4A1A" w:rsidRPr="00807DA2">
        <w:rPr>
          <w:sz w:val="16"/>
          <w:szCs w:val="16"/>
        </w:rPr>
        <w:t>Prepared in accordance with paragraph 15 of the Procedures and Rules for the Functioning of the Mechanism for the Review of the Implementation of the United Nations Convention against Transnational Organized Crime and the Protocols thereto (Resolution 9/1 of the Conference of the Parties to the United Nations Convention against Transnational Organized Crime and the Protocols thereto, Annex).</w:t>
      </w:r>
    </w:p>
  </w:footnote>
  <w:footnote w:id="8">
    <w:p w14:paraId="055185DD" w14:textId="4D237B57" w:rsidR="00CF538C" w:rsidRDefault="009B00F0" w:rsidP="009B00F0">
      <w:pPr>
        <w:pStyle w:val="FootnoteText"/>
        <w:tabs>
          <w:tab w:val="clear" w:pos="418"/>
          <w:tab w:val="right" w:pos="1195"/>
          <w:tab w:val="left" w:pos="1267"/>
          <w:tab w:val="left" w:pos="1742"/>
          <w:tab w:val="left" w:pos="2218"/>
          <w:tab w:val="left" w:pos="2693"/>
        </w:tabs>
        <w:ind w:left="1267" w:right="1260" w:hanging="432"/>
      </w:pPr>
      <w:r>
        <w:rPr>
          <w:sz w:val="16"/>
          <w:szCs w:val="16"/>
        </w:rPr>
        <w:tab/>
      </w:r>
      <w:r w:rsidR="00CF538C" w:rsidRPr="00807DA2">
        <w:rPr>
          <w:rStyle w:val="FootnoteReference"/>
          <w:sz w:val="16"/>
          <w:szCs w:val="16"/>
        </w:rPr>
        <w:footnoteRef/>
      </w:r>
      <w:r w:rsidR="00CF538C" w:rsidRPr="00807DA2">
        <w:rPr>
          <w:sz w:val="16"/>
          <w:szCs w:val="16"/>
        </w:rPr>
        <w:t xml:space="preserve"> </w:t>
      </w:r>
      <w:r w:rsidR="00CF538C" w:rsidRPr="00807DA2">
        <w:rPr>
          <w:sz w:val="16"/>
          <w:szCs w:val="16"/>
        </w:rPr>
        <w:tab/>
        <w:t>Resolution 9/1 of the Conference of the Parties to the United Nations Convention against Transnational Organized Crime and the Protocols thereto, Annex.</w:t>
      </w:r>
    </w:p>
  </w:footnote>
  <w:footnote w:id="9">
    <w:p w14:paraId="08401EC2" w14:textId="5493FD8F" w:rsidR="00CF538C" w:rsidRDefault="009B00F0" w:rsidP="009B00F0">
      <w:pPr>
        <w:pStyle w:val="FootnoteText"/>
        <w:tabs>
          <w:tab w:val="clear" w:pos="418"/>
          <w:tab w:val="right" w:pos="1195"/>
          <w:tab w:val="left" w:pos="1267"/>
          <w:tab w:val="left" w:pos="1742"/>
          <w:tab w:val="left" w:pos="2218"/>
          <w:tab w:val="left" w:pos="2693"/>
        </w:tabs>
        <w:ind w:left="1267" w:right="1260" w:hanging="432"/>
      </w:pPr>
      <w:r>
        <w:tab/>
      </w:r>
      <w:r w:rsidR="00CF538C">
        <w:rPr>
          <w:rStyle w:val="FootnoteReference"/>
        </w:rPr>
        <w:footnoteRef/>
      </w:r>
      <w:r w:rsidR="00CF538C">
        <w:t xml:space="preserve"> </w:t>
      </w:r>
      <w:r w:rsidR="00CF538C" w:rsidRPr="00807DA2">
        <w:rPr>
          <w:sz w:val="16"/>
          <w:szCs w:val="16"/>
        </w:rPr>
        <w:tab/>
        <w:t>Prepared in accordance with paragraph 15 of the Procedures and Rules for the Functioning of the Mechanism for the Review of the Implementation of the United Nations Convention against Transnational Organized Crime and the Protocols thereto (Resolution 9/1 of the Conference of the Parties to the United Nations Convention against Transnational Organized Crime and the Protocols thereto, Annex). The summary of lists of observations shall not exceed 1,500 words in length.</w:t>
      </w:r>
    </w:p>
  </w:footnote>
  <w:footnote w:id="10">
    <w:p w14:paraId="087F9E89" w14:textId="77777777" w:rsidR="00B635C0" w:rsidRPr="004307CB" w:rsidRDefault="00B635C0" w:rsidP="00B635C0">
      <w:pPr>
        <w:pStyle w:val="FootnoteText"/>
        <w:tabs>
          <w:tab w:val="clear" w:pos="418"/>
          <w:tab w:val="right" w:pos="1195"/>
          <w:tab w:val="left" w:pos="1267"/>
          <w:tab w:val="left" w:pos="1742"/>
          <w:tab w:val="left" w:pos="2218"/>
          <w:tab w:val="left" w:pos="2693"/>
        </w:tabs>
        <w:ind w:left="1267" w:right="1260" w:hanging="432"/>
        <w:rPr>
          <w:szCs w:val="17"/>
        </w:rPr>
      </w:pPr>
      <w:r w:rsidRPr="004307CB">
        <w:rPr>
          <w:szCs w:val="17"/>
        </w:rPr>
        <w:tab/>
      </w:r>
      <w:r w:rsidRPr="004307CB">
        <w:rPr>
          <w:rStyle w:val="FootnoteReference"/>
          <w:szCs w:val="17"/>
        </w:rPr>
        <w:footnoteRef/>
      </w:r>
      <w:r w:rsidRPr="004307CB">
        <w:rPr>
          <w:szCs w:val="17"/>
        </w:rPr>
        <w:tab/>
        <w:t xml:space="preserve">United Nations, </w:t>
      </w:r>
      <w:r w:rsidRPr="004307CB">
        <w:rPr>
          <w:i/>
          <w:iCs/>
          <w:szCs w:val="17"/>
        </w:rPr>
        <w:t>Treaty Series</w:t>
      </w:r>
      <w:r w:rsidRPr="004307CB">
        <w:rPr>
          <w:szCs w:val="17"/>
        </w:rPr>
        <w:t>, vols. 2225, 2237, 2241 and 2326, No. 39574.</w:t>
      </w:r>
    </w:p>
  </w:footnote>
  <w:footnote w:id="11">
    <w:p w14:paraId="22F19B8E" w14:textId="77777777" w:rsidR="00B635C0" w:rsidRPr="004307CB" w:rsidRDefault="00B635C0" w:rsidP="00B635C0">
      <w:pPr>
        <w:pStyle w:val="FootnoteText"/>
        <w:widowControl/>
        <w:tabs>
          <w:tab w:val="clear" w:pos="418"/>
          <w:tab w:val="right" w:pos="1195"/>
          <w:tab w:val="left" w:pos="1267"/>
          <w:tab w:val="left" w:pos="1742"/>
          <w:tab w:val="left" w:pos="2218"/>
          <w:tab w:val="left" w:pos="2693"/>
        </w:tabs>
        <w:ind w:left="1267" w:right="1260" w:hanging="432"/>
        <w:rPr>
          <w:szCs w:val="17"/>
        </w:rPr>
      </w:pPr>
      <w:r w:rsidRPr="004307CB">
        <w:rPr>
          <w:szCs w:val="17"/>
        </w:rPr>
        <w:tab/>
      </w:r>
      <w:r w:rsidRPr="004307CB">
        <w:rPr>
          <w:rStyle w:val="FootnoteReference"/>
          <w:szCs w:val="17"/>
        </w:rPr>
        <w:footnoteRef/>
      </w:r>
      <w:r w:rsidRPr="004307CB">
        <w:rPr>
          <w:szCs w:val="17"/>
        </w:rPr>
        <w:tab/>
        <w:t xml:space="preserve">On an exceptional basis and without prejudice to the fulfilment of the obligations deriving from the Convention, including those under article 32, the Conference of the Parties decides that the Holy See may choose not to participate as either a State under review or a reviewing State in the mechanism established by the present resolution. </w:t>
      </w:r>
    </w:p>
  </w:footnote>
  <w:footnote w:id="12">
    <w:p w14:paraId="29E94964" w14:textId="77777777" w:rsidR="00B635C0" w:rsidRPr="004307CB" w:rsidRDefault="00B635C0" w:rsidP="00B635C0">
      <w:pPr>
        <w:pStyle w:val="FootnoteText"/>
        <w:widowControl/>
        <w:tabs>
          <w:tab w:val="clear" w:pos="418"/>
          <w:tab w:val="right" w:pos="1195"/>
          <w:tab w:val="left" w:pos="1267"/>
          <w:tab w:val="left" w:pos="1742"/>
          <w:tab w:val="left" w:pos="2218"/>
          <w:tab w:val="left" w:pos="2693"/>
        </w:tabs>
        <w:ind w:left="1267" w:right="1260" w:hanging="432"/>
        <w:rPr>
          <w:rFonts w:asciiTheme="minorHAnsi" w:hAnsiTheme="minorHAnsi" w:cstheme="minorBidi"/>
          <w:szCs w:val="17"/>
        </w:rPr>
      </w:pPr>
      <w:r w:rsidRPr="004307CB">
        <w:rPr>
          <w:szCs w:val="17"/>
        </w:rPr>
        <w:tab/>
      </w:r>
      <w:r w:rsidRPr="00B15580">
        <w:rPr>
          <w:rStyle w:val="FootnoteReference"/>
          <w:szCs w:val="17"/>
        </w:rPr>
        <w:footnoteRef/>
      </w:r>
      <w:r w:rsidRPr="004307CB">
        <w:rPr>
          <w:szCs w:val="17"/>
        </w:rPr>
        <w:tab/>
      </w:r>
      <w:r w:rsidRPr="004307CB">
        <w:rPr>
          <w:w w:val="104"/>
          <w:szCs w:val="17"/>
        </w:rPr>
        <w:t>Which provides that States parties shall carry out their obligations under the United Nations Convention against Transnational Organized Crime in a manner consistent with the principles of sovereign equality and territorial integrity of States and that of non-intervention in the domestic affairs of other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22013F" w14:paraId="5E79F433" w14:textId="77777777" w:rsidTr="0022013F">
      <w:trPr>
        <w:trHeight w:hRule="exact" w:val="864"/>
        <w:jc w:val="center"/>
      </w:trPr>
      <w:tc>
        <w:tcPr>
          <w:tcW w:w="4882" w:type="dxa"/>
          <w:shd w:val="clear" w:color="auto" w:fill="auto"/>
          <w:vAlign w:val="bottom"/>
        </w:tcPr>
        <w:p w14:paraId="58F8661E" w14:textId="02A44AC6" w:rsidR="00BF7F9C" w:rsidRPr="0022013F" w:rsidRDefault="00314856" w:rsidP="00CC1FB5">
          <w:pPr>
            <w:pStyle w:val="Header"/>
            <w:spacing w:after="80"/>
            <w:rPr>
              <w:b/>
            </w:rPr>
          </w:pPr>
          <w:r>
            <w:rPr>
              <w:b/>
            </w:rPr>
            <w:fldChar w:fldCharType="begin"/>
          </w:r>
          <w:r>
            <w:rPr>
              <w:b/>
            </w:rPr>
            <w:instrText xml:space="preserve"> DOCVARIABLE "sss1" \* MERGEFORMAT </w:instrText>
          </w:r>
          <w:r>
            <w:rPr>
              <w:b/>
            </w:rPr>
            <w:fldChar w:fldCharType="separate"/>
          </w:r>
          <w:r w:rsidR="00B635C0">
            <w:rPr>
              <w:b/>
            </w:rPr>
            <w:t>CTOC/COP/WG.9/2017/CRP.2</w:t>
          </w:r>
          <w:r>
            <w:rPr>
              <w:b/>
            </w:rPr>
            <w:fldChar w:fldCharType="end"/>
          </w:r>
          <w:r>
            <w:rPr>
              <w:b/>
            </w:rPr>
            <w:t>2018/CRP.1</w:t>
          </w:r>
        </w:p>
      </w:tc>
      <w:tc>
        <w:tcPr>
          <w:tcW w:w="4923" w:type="dxa"/>
          <w:shd w:val="clear" w:color="auto" w:fill="auto"/>
          <w:vAlign w:val="bottom"/>
        </w:tcPr>
        <w:p w14:paraId="4C727832" w14:textId="77777777" w:rsidR="0022013F" w:rsidRDefault="0022013F" w:rsidP="0022013F">
          <w:pPr>
            <w:pStyle w:val="Header"/>
          </w:pPr>
        </w:p>
      </w:tc>
    </w:tr>
  </w:tbl>
  <w:p w14:paraId="079A20CC" w14:textId="77777777" w:rsidR="0022013F" w:rsidRPr="0022013F" w:rsidRDefault="0022013F" w:rsidP="0022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22013F" w14:paraId="188C84B2" w14:textId="77777777" w:rsidTr="0022013F">
      <w:trPr>
        <w:trHeight w:hRule="exact" w:val="864"/>
        <w:jc w:val="center"/>
      </w:trPr>
      <w:tc>
        <w:tcPr>
          <w:tcW w:w="4882" w:type="dxa"/>
          <w:shd w:val="clear" w:color="auto" w:fill="auto"/>
          <w:vAlign w:val="bottom"/>
        </w:tcPr>
        <w:p w14:paraId="07943EFA" w14:textId="77777777" w:rsidR="0022013F" w:rsidRDefault="0022013F" w:rsidP="0022013F">
          <w:pPr>
            <w:pStyle w:val="Header"/>
          </w:pPr>
        </w:p>
      </w:tc>
      <w:tc>
        <w:tcPr>
          <w:tcW w:w="4923" w:type="dxa"/>
          <w:shd w:val="clear" w:color="auto" w:fill="auto"/>
          <w:vAlign w:val="bottom"/>
        </w:tcPr>
        <w:p w14:paraId="5D40C32D" w14:textId="0CD214AD" w:rsidR="00BF7F9C" w:rsidRPr="0022013F" w:rsidRDefault="00BF7F9C" w:rsidP="00073679">
          <w:pPr>
            <w:pStyle w:val="Header"/>
            <w:spacing w:after="80"/>
            <w:ind w:right="340"/>
            <w:jc w:val="right"/>
            <w:rPr>
              <w:b/>
            </w:rPr>
          </w:pPr>
        </w:p>
      </w:tc>
    </w:tr>
  </w:tbl>
  <w:p w14:paraId="61CB50FE" w14:textId="77777777" w:rsidR="0022013F" w:rsidRPr="0022013F" w:rsidRDefault="0022013F" w:rsidP="0022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218F8" w14:paraId="5ABFF351" w14:textId="77777777" w:rsidTr="0022013F">
      <w:trPr>
        <w:trHeight w:hRule="exact" w:val="864"/>
        <w:jc w:val="center"/>
      </w:trPr>
      <w:tc>
        <w:tcPr>
          <w:tcW w:w="4882" w:type="dxa"/>
          <w:shd w:val="clear" w:color="auto" w:fill="auto"/>
          <w:vAlign w:val="bottom"/>
        </w:tcPr>
        <w:p w14:paraId="7E1FC00C" w14:textId="767F4DA1" w:rsidR="00D218F8" w:rsidRPr="0022013F" w:rsidRDefault="00D218F8" w:rsidP="00BF462B">
          <w:pPr>
            <w:pStyle w:val="Header"/>
            <w:spacing w:after="80"/>
            <w:rPr>
              <w:b/>
            </w:rPr>
          </w:pPr>
        </w:p>
      </w:tc>
      <w:tc>
        <w:tcPr>
          <w:tcW w:w="4923" w:type="dxa"/>
          <w:shd w:val="clear" w:color="auto" w:fill="auto"/>
          <w:vAlign w:val="bottom"/>
        </w:tcPr>
        <w:p w14:paraId="2317951B" w14:textId="77777777" w:rsidR="00D218F8" w:rsidRDefault="00D218F8" w:rsidP="0022013F">
          <w:pPr>
            <w:pStyle w:val="Header"/>
          </w:pPr>
        </w:p>
      </w:tc>
    </w:tr>
  </w:tbl>
  <w:p w14:paraId="10E64159" w14:textId="77777777" w:rsidR="00D218F8" w:rsidRPr="0022013F" w:rsidRDefault="00D218F8" w:rsidP="0022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C8"/>
    <w:multiLevelType w:val="hybridMultilevel"/>
    <w:tmpl w:val="490E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99319F7"/>
    <w:multiLevelType w:val="hybridMultilevel"/>
    <w:tmpl w:val="B420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3F794EA0"/>
    <w:multiLevelType w:val="hybridMultilevel"/>
    <w:tmpl w:val="AAA85C62"/>
    <w:lvl w:ilvl="0" w:tplc="EAD8F064">
      <w:start w:val="56"/>
      <w:numFmt w:val="decimal"/>
      <w:lvlRestart w:val="0"/>
      <w:lvlText w:val="%1."/>
      <w:lvlJc w:val="left"/>
      <w:pPr>
        <w:ind w:left="1264" w:firstLine="0"/>
      </w:pPr>
      <w:rPr>
        <w:rFonts w:hint="default"/>
        <w:spacing w:val="0"/>
        <w:w w:val="100"/>
      </w:rPr>
    </w:lvl>
    <w:lvl w:ilvl="1" w:tplc="08090019" w:tentative="1">
      <w:start w:val="1"/>
      <w:numFmt w:val="lowerLetter"/>
      <w:lvlText w:val="%2."/>
      <w:lvlJc w:val="left"/>
      <w:pPr>
        <w:ind w:left="2704" w:hanging="360"/>
      </w:pPr>
    </w:lvl>
    <w:lvl w:ilvl="2" w:tplc="0809001B" w:tentative="1">
      <w:start w:val="1"/>
      <w:numFmt w:val="lowerRoman"/>
      <w:lvlText w:val="%3."/>
      <w:lvlJc w:val="right"/>
      <w:pPr>
        <w:ind w:left="3424" w:hanging="180"/>
      </w:pPr>
    </w:lvl>
    <w:lvl w:ilvl="3" w:tplc="0809000F" w:tentative="1">
      <w:start w:val="1"/>
      <w:numFmt w:val="decimal"/>
      <w:lvlText w:val="%4."/>
      <w:lvlJc w:val="left"/>
      <w:pPr>
        <w:ind w:left="4144" w:hanging="360"/>
      </w:pPr>
    </w:lvl>
    <w:lvl w:ilvl="4" w:tplc="08090019" w:tentative="1">
      <w:start w:val="1"/>
      <w:numFmt w:val="lowerLetter"/>
      <w:lvlText w:val="%5."/>
      <w:lvlJc w:val="left"/>
      <w:pPr>
        <w:ind w:left="4864" w:hanging="360"/>
      </w:pPr>
    </w:lvl>
    <w:lvl w:ilvl="5" w:tplc="0809001B" w:tentative="1">
      <w:start w:val="1"/>
      <w:numFmt w:val="lowerRoman"/>
      <w:lvlText w:val="%6."/>
      <w:lvlJc w:val="right"/>
      <w:pPr>
        <w:ind w:left="5584" w:hanging="180"/>
      </w:pPr>
    </w:lvl>
    <w:lvl w:ilvl="6" w:tplc="0809000F" w:tentative="1">
      <w:start w:val="1"/>
      <w:numFmt w:val="decimal"/>
      <w:lvlText w:val="%7."/>
      <w:lvlJc w:val="left"/>
      <w:pPr>
        <w:ind w:left="6304" w:hanging="360"/>
      </w:pPr>
    </w:lvl>
    <w:lvl w:ilvl="7" w:tplc="08090019" w:tentative="1">
      <w:start w:val="1"/>
      <w:numFmt w:val="lowerLetter"/>
      <w:lvlText w:val="%8."/>
      <w:lvlJc w:val="left"/>
      <w:pPr>
        <w:ind w:left="7024" w:hanging="360"/>
      </w:pPr>
    </w:lvl>
    <w:lvl w:ilvl="8" w:tplc="0809001B" w:tentative="1">
      <w:start w:val="1"/>
      <w:numFmt w:val="lowerRoman"/>
      <w:lvlText w:val="%9."/>
      <w:lvlJc w:val="right"/>
      <w:pPr>
        <w:ind w:left="7744" w:hanging="180"/>
      </w:pPr>
    </w:lvl>
  </w:abstractNum>
  <w:abstractNum w:abstractNumId="5" w15:restartNumberingAfterBreak="0">
    <w:nsid w:val="4C440326"/>
    <w:multiLevelType w:val="hybridMultilevel"/>
    <w:tmpl w:val="C6984F16"/>
    <w:lvl w:ilvl="0" w:tplc="91D64B80">
      <w:start w:val="1"/>
      <w:numFmt w:val="decimal"/>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B911DB1"/>
    <w:multiLevelType w:val="hybridMultilevel"/>
    <w:tmpl w:val="E7BA7C74"/>
    <w:lvl w:ilvl="0" w:tplc="E72052A4">
      <w:start w:val="1"/>
      <w:numFmt w:val="upperRoman"/>
      <w:lvlText w:val="%1."/>
      <w:lvlJc w:val="left"/>
      <w:pPr>
        <w:ind w:left="1560" w:hanging="720"/>
      </w:pPr>
      <w:rPr>
        <w:rFonts w:hint="default"/>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5E2F05E0"/>
    <w:multiLevelType w:val="hybridMultilevel"/>
    <w:tmpl w:val="331E847E"/>
    <w:lvl w:ilvl="0" w:tplc="D57A6A36">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F1E4768"/>
    <w:multiLevelType w:val="hybridMultilevel"/>
    <w:tmpl w:val="A6ACC4C0"/>
    <w:lvl w:ilvl="0" w:tplc="0409000F">
      <w:start w:val="1"/>
      <w:numFmt w:val="decimal"/>
      <w:lvlText w:val="%1."/>
      <w:lvlJc w:val="left"/>
      <w:pPr>
        <w:ind w:left="1637"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3CC547C"/>
    <w:multiLevelType w:val="hybridMultilevel"/>
    <w:tmpl w:val="863074BC"/>
    <w:lvl w:ilvl="0" w:tplc="E5FC80F4">
      <w:start w:val="1"/>
      <w:numFmt w:val="lowerLetter"/>
      <w:lvlText w:val="(%1)"/>
      <w:lvlJc w:val="left"/>
      <w:pPr>
        <w:ind w:left="1716" w:hanging="360"/>
      </w:pPr>
      <w:rPr>
        <w:rFonts w:hint="default"/>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77BC359B"/>
    <w:multiLevelType w:val="hybridMultilevel"/>
    <w:tmpl w:val="A6ACC4C0"/>
    <w:lvl w:ilvl="0" w:tplc="0409000F">
      <w:start w:val="1"/>
      <w:numFmt w:val="decimal"/>
      <w:lvlText w:val="%1."/>
      <w:lvlJc w:val="left"/>
      <w:pPr>
        <w:ind w:left="1637"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6"/>
  </w:num>
  <w:num w:numId="5">
    <w:abstractNumId w:val="11"/>
  </w:num>
  <w:num w:numId="6">
    <w:abstractNumId w:val="1"/>
  </w:num>
  <w:num w:numId="7">
    <w:abstractNumId w:val="7"/>
  </w:num>
  <w:num w:numId="8">
    <w:abstractNumId w:val="6"/>
  </w:num>
  <w:num w:numId="9">
    <w:abstractNumId w:val="11"/>
  </w:num>
  <w:num w:numId="10">
    <w:abstractNumId w:val="1"/>
  </w:num>
  <w:num w:numId="11">
    <w:abstractNumId w:val="7"/>
  </w:num>
  <w:num w:numId="12">
    <w:abstractNumId w:val="6"/>
  </w:num>
  <w:num w:numId="13">
    <w:abstractNumId w:val="11"/>
  </w:num>
  <w:num w:numId="14">
    <w:abstractNumId w:val="1"/>
  </w:num>
  <w:num w:numId="15">
    <w:abstractNumId w:val="7"/>
  </w:num>
  <w:num w:numId="16">
    <w:abstractNumId w:val="6"/>
  </w:num>
  <w:num w:numId="17">
    <w:abstractNumId w:val="11"/>
  </w:num>
  <w:num w:numId="18">
    <w:abstractNumId w:val="1"/>
  </w:num>
  <w:num w:numId="19">
    <w:abstractNumId w:val="7"/>
  </w:num>
  <w:num w:numId="20">
    <w:abstractNumId w:val="6"/>
  </w:num>
  <w:num w:numId="21">
    <w:abstractNumId w:val="11"/>
  </w:num>
  <w:num w:numId="22">
    <w:abstractNumId w:val="1"/>
  </w:num>
  <w:num w:numId="23">
    <w:abstractNumId w:val="7"/>
  </w:num>
  <w:num w:numId="24">
    <w:abstractNumId w:val="6"/>
  </w:num>
  <w:num w:numId="25">
    <w:abstractNumId w:val="13"/>
  </w:num>
  <w:num w:numId="26">
    <w:abstractNumId w:val="3"/>
  </w:num>
  <w:num w:numId="27">
    <w:abstractNumId w:val="13"/>
  </w:num>
  <w:num w:numId="28">
    <w:abstractNumId w:val="3"/>
  </w:num>
  <w:num w:numId="29">
    <w:abstractNumId w:val="4"/>
  </w:num>
  <w:num w:numId="30">
    <w:abstractNumId w:val="10"/>
  </w:num>
  <w:num w:numId="31">
    <w:abstractNumId w:val="2"/>
  </w:num>
  <w:num w:numId="32">
    <w:abstractNumId w:val="9"/>
  </w:num>
  <w:num w:numId="33">
    <w:abstractNumId w:val="8"/>
  </w:num>
  <w:num w:numId="34">
    <w:abstractNumId w:val="5"/>
  </w:num>
  <w:num w:numId="35">
    <w:abstractNumId w:val="14"/>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475"/>
  <w:hyphenationZone w:val="20"/>
  <w:doNotHyphenateCaps/>
  <w:evenAndOddHeaders/>
  <w:characterSpacingControl w:val="doNotCompress"/>
  <w:hdrShapeDefaults>
    <o:shapedefaults v:ext="edit" spidmax="2867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07577*"/>
    <w:docVar w:name="CreationDt" w:val="25/10/2017 13:00:22"/>
    <w:docVar w:name="DocCategory" w:val="Doc"/>
    <w:docVar w:name="DocType" w:val="Final"/>
    <w:docVar w:name="DutyStation" w:val="Vienna"/>
    <w:docVar w:name="FooterJN" w:val="V.17-07577"/>
    <w:docVar w:name="jobn" w:val="V.17-07577 (E)"/>
    <w:docVar w:name="jobnDT" w:val="V.17-07577 (E)   251017"/>
    <w:docVar w:name="jobnDTDT" w:val="V.17-07577 (E)   251017   251017"/>
    <w:docVar w:name="JobNo" w:val="V.1707577E"/>
    <w:docVar w:name="JobNo2" w:val="1707577E"/>
    <w:docVar w:name="LocalDrive" w:val="0"/>
    <w:docVar w:name="OandT" w:val="SB"/>
    <w:docVar w:name="sss1" w:val="CTOC/COP/WG.9/2017/CRP.2"/>
    <w:docVar w:name="sss2" w:val="-"/>
    <w:docVar w:name="Symbol1" w:val="CTOC/COP/WG.9/2017/CRP.2"/>
    <w:docVar w:name="Symbol2" w:val="-"/>
  </w:docVars>
  <w:rsids>
    <w:rsidRoot w:val="00D46ACA"/>
    <w:rsid w:val="00017FCF"/>
    <w:rsid w:val="00021AAD"/>
    <w:rsid w:val="00024D1E"/>
    <w:rsid w:val="00034AAE"/>
    <w:rsid w:val="00073679"/>
    <w:rsid w:val="000B23A3"/>
    <w:rsid w:val="000B5BD8"/>
    <w:rsid w:val="000C4C9C"/>
    <w:rsid w:val="000D1C34"/>
    <w:rsid w:val="000E36E7"/>
    <w:rsid w:val="000E4326"/>
    <w:rsid w:val="000E527D"/>
    <w:rsid w:val="001317F0"/>
    <w:rsid w:val="00136E17"/>
    <w:rsid w:val="0017294E"/>
    <w:rsid w:val="001818DF"/>
    <w:rsid w:val="00192891"/>
    <w:rsid w:val="001A2EBE"/>
    <w:rsid w:val="001C097F"/>
    <w:rsid w:val="001C2301"/>
    <w:rsid w:val="00214645"/>
    <w:rsid w:val="0022013F"/>
    <w:rsid w:val="002345F8"/>
    <w:rsid w:val="002428A3"/>
    <w:rsid w:val="00261201"/>
    <w:rsid w:val="0027010B"/>
    <w:rsid w:val="002706A2"/>
    <w:rsid w:val="002857D7"/>
    <w:rsid w:val="002A4A1A"/>
    <w:rsid w:val="002A4AF9"/>
    <w:rsid w:val="002B3F02"/>
    <w:rsid w:val="002C1AB0"/>
    <w:rsid w:val="002D108D"/>
    <w:rsid w:val="002E09A8"/>
    <w:rsid w:val="0030093C"/>
    <w:rsid w:val="00305C8F"/>
    <w:rsid w:val="00314856"/>
    <w:rsid w:val="003870EE"/>
    <w:rsid w:val="003D6BE5"/>
    <w:rsid w:val="003E090A"/>
    <w:rsid w:val="003E3B08"/>
    <w:rsid w:val="003E723B"/>
    <w:rsid w:val="004173DE"/>
    <w:rsid w:val="004175B2"/>
    <w:rsid w:val="0044133C"/>
    <w:rsid w:val="0044179B"/>
    <w:rsid w:val="0044788E"/>
    <w:rsid w:val="00447E11"/>
    <w:rsid w:val="00481C53"/>
    <w:rsid w:val="004856CD"/>
    <w:rsid w:val="0049285D"/>
    <w:rsid w:val="004B0B18"/>
    <w:rsid w:val="004B4C46"/>
    <w:rsid w:val="004D17DB"/>
    <w:rsid w:val="004E2CF0"/>
    <w:rsid w:val="00527047"/>
    <w:rsid w:val="00540242"/>
    <w:rsid w:val="0054138F"/>
    <w:rsid w:val="00556720"/>
    <w:rsid w:val="0059726B"/>
    <w:rsid w:val="005A0792"/>
    <w:rsid w:val="005A1F21"/>
    <w:rsid w:val="005C49C8"/>
    <w:rsid w:val="005C6ED3"/>
    <w:rsid w:val="006040BE"/>
    <w:rsid w:val="00625FF4"/>
    <w:rsid w:val="00644CC8"/>
    <w:rsid w:val="00674235"/>
    <w:rsid w:val="00690A13"/>
    <w:rsid w:val="00692FB6"/>
    <w:rsid w:val="006D1464"/>
    <w:rsid w:val="006F4DF8"/>
    <w:rsid w:val="006F5E18"/>
    <w:rsid w:val="00725C8E"/>
    <w:rsid w:val="007322A5"/>
    <w:rsid w:val="0074719A"/>
    <w:rsid w:val="00772C77"/>
    <w:rsid w:val="007A23C1"/>
    <w:rsid w:val="007D196C"/>
    <w:rsid w:val="007E279E"/>
    <w:rsid w:val="007F1D8E"/>
    <w:rsid w:val="007F330C"/>
    <w:rsid w:val="00807DA2"/>
    <w:rsid w:val="00810FC4"/>
    <w:rsid w:val="0083048D"/>
    <w:rsid w:val="00844266"/>
    <w:rsid w:val="00846D29"/>
    <w:rsid w:val="00855FFA"/>
    <w:rsid w:val="00867113"/>
    <w:rsid w:val="00871A96"/>
    <w:rsid w:val="008723C3"/>
    <w:rsid w:val="00876180"/>
    <w:rsid w:val="00883A2D"/>
    <w:rsid w:val="008A156F"/>
    <w:rsid w:val="008A31B8"/>
    <w:rsid w:val="008A638C"/>
    <w:rsid w:val="008B0412"/>
    <w:rsid w:val="008C44AB"/>
    <w:rsid w:val="00914273"/>
    <w:rsid w:val="00937753"/>
    <w:rsid w:val="00964BD5"/>
    <w:rsid w:val="009804F7"/>
    <w:rsid w:val="00984B1D"/>
    <w:rsid w:val="009953D4"/>
    <w:rsid w:val="009A1725"/>
    <w:rsid w:val="009B00F0"/>
    <w:rsid w:val="009D3B91"/>
    <w:rsid w:val="009E0899"/>
    <w:rsid w:val="009E1969"/>
    <w:rsid w:val="009E747F"/>
    <w:rsid w:val="00A02AE5"/>
    <w:rsid w:val="00A04C47"/>
    <w:rsid w:val="00A20AC0"/>
    <w:rsid w:val="00A31B79"/>
    <w:rsid w:val="00A46877"/>
    <w:rsid w:val="00A53BA7"/>
    <w:rsid w:val="00A67D88"/>
    <w:rsid w:val="00A750A4"/>
    <w:rsid w:val="00A86C9C"/>
    <w:rsid w:val="00A91881"/>
    <w:rsid w:val="00AA2E74"/>
    <w:rsid w:val="00AA4619"/>
    <w:rsid w:val="00AD5EFB"/>
    <w:rsid w:val="00AF2E69"/>
    <w:rsid w:val="00B010CB"/>
    <w:rsid w:val="00B15422"/>
    <w:rsid w:val="00B4245C"/>
    <w:rsid w:val="00B6248F"/>
    <w:rsid w:val="00B635C0"/>
    <w:rsid w:val="00B7491C"/>
    <w:rsid w:val="00B75369"/>
    <w:rsid w:val="00BA78E3"/>
    <w:rsid w:val="00BB36DE"/>
    <w:rsid w:val="00BC737D"/>
    <w:rsid w:val="00BD3C0C"/>
    <w:rsid w:val="00BE5FA0"/>
    <w:rsid w:val="00BF2EEB"/>
    <w:rsid w:val="00BF462B"/>
    <w:rsid w:val="00BF5B27"/>
    <w:rsid w:val="00BF6BE0"/>
    <w:rsid w:val="00BF7F9C"/>
    <w:rsid w:val="00C0355A"/>
    <w:rsid w:val="00C07A2C"/>
    <w:rsid w:val="00C1566A"/>
    <w:rsid w:val="00C238CA"/>
    <w:rsid w:val="00C5375E"/>
    <w:rsid w:val="00C76245"/>
    <w:rsid w:val="00C7716F"/>
    <w:rsid w:val="00C779E4"/>
    <w:rsid w:val="00C854B5"/>
    <w:rsid w:val="00C94DBF"/>
    <w:rsid w:val="00CB0600"/>
    <w:rsid w:val="00CC1FB5"/>
    <w:rsid w:val="00CD3E58"/>
    <w:rsid w:val="00CF538C"/>
    <w:rsid w:val="00D14883"/>
    <w:rsid w:val="00D218F8"/>
    <w:rsid w:val="00D2701E"/>
    <w:rsid w:val="00D46ACA"/>
    <w:rsid w:val="00D50618"/>
    <w:rsid w:val="00D526E8"/>
    <w:rsid w:val="00DC3CC0"/>
    <w:rsid w:val="00DC4FB3"/>
    <w:rsid w:val="00DC7B16"/>
    <w:rsid w:val="00DE390D"/>
    <w:rsid w:val="00E1628A"/>
    <w:rsid w:val="00E30E09"/>
    <w:rsid w:val="00E31D6C"/>
    <w:rsid w:val="00E44CE6"/>
    <w:rsid w:val="00E60303"/>
    <w:rsid w:val="00E870C2"/>
    <w:rsid w:val="00EC098C"/>
    <w:rsid w:val="00EE5DF5"/>
    <w:rsid w:val="00EF5B83"/>
    <w:rsid w:val="00EF73A5"/>
    <w:rsid w:val="00F05A38"/>
    <w:rsid w:val="00F14F55"/>
    <w:rsid w:val="00F27BF6"/>
    <w:rsid w:val="00F30184"/>
    <w:rsid w:val="00F5593E"/>
    <w:rsid w:val="00F94BC6"/>
    <w:rsid w:val="00FA15B5"/>
    <w:rsid w:val="00FC49F5"/>
    <w:rsid w:val="00FC5C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2200AE"/>
  <w15:chartTrackingRefBased/>
  <w15:docId w15:val="{82D91736-1ADE-4AC6-8393-59533EC7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85D"/>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4928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noProof/>
      <w:sz w:val="24"/>
      <w:lang w:val="en-US"/>
    </w:rPr>
  </w:style>
  <w:style w:type="paragraph" w:customStyle="1" w:styleId="HCh">
    <w:name w:val="_ H _Ch"/>
    <w:basedOn w:val="H1"/>
    <w:next w:val="SingleTxt"/>
    <w:link w:val="HChChar"/>
    <w:rsid w:val="0049285D"/>
    <w:pPr>
      <w:spacing w:line="300" w:lineRule="exact"/>
      <w:ind w:left="0" w:right="0" w:firstLine="0"/>
    </w:pPr>
    <w:rPr>
      <w:spacing w:val="-2"/>
      <w:sz w:val="28"/>
    </w:rPr>
  </w:style>
  <w:style w:type="paragraph" w:customStyle="1" w:styleId="HM">
    <w:name w:val="_ H __M"/>
    <w:basedOn w:val="HCh"/>
    <w:next w:val="Normal"/>
    <w:rsid w:val="0049285D"/>
    <w:pPr>
      <w:spacing w:line="360" w:lineRule="exact"/>
    </w:pPr>
    <w:rPr>
      <w:spacing w:val="-3"/>
      <w:w w:val="99"/>
      <w:sz w:val="34"/>
    </w:rPr>
  </w:style>
  <w:style w:type="paragraph" w:customStyle="1" w:styleId="H23">
    <w:name w:val="_ H_2/3"/>
    <w:basedOn w:val="H1"/>
    <w:next w:val="SingleTxt"/>
    <w:rsid w:val="0049285D"/>
    <w:pPr>
      <w:spacing w:line="240" w:lineRule="exact"/>
      <w:outlineLvl w:val="1"/>
    </w:pPr>
    <w:rPr>
      <w:spacing w:val="2"/>
      <w:sz w:val="20"/>
    </w:rPr>
  </w:style>
  <w:style w:type="paragraph" w:customStyle="1" w:styleId="H4">
    <w:name w:val="_ H_4"/>
    <w:basedOn w:val="Normal"/>
    <w:next w:val="Normal"/>
    <w:rsid w:val="004928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928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928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28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285D"/>
    <w:pPr>
      <w:spacing w:line="540" w:lineRule="exact"/>
    </w:pPr>
    <w:rPr>
      <w:spacing w:val="-8"/>
      <w:w w:val="96"/>
      <w:sz w:val="57"/>
    </w:rPr>
  </w:style>
  <w:style w:type="paragraph" w:customStyle="1" w:styleId="SS">
    <w:name w:val="__S_S"/>
    <w:basedOn w:val="HCh"/>
    <w:next w:val="Normal"/>
    <w:rsid w:val="0049285D"/>
    <w:pPr>
      <w:ind w:left="1267" w:right="1267"/>
    </w:pPr>
  </w:style>
  <w:style w:type="paragraph" w:customStyle="1" w:styleId="SingleTxt">
    <w:name w:val="__Single Txt"/>
    <w:basedOn w:val="Normal"/>
    <w:link w:val="SingleTxtChar"/>
    <w:rsid w:val="004928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9285D"/>
    <w:pPr>
      <w:keepNext w:val="0"/>
      <w:keepLines w:val="0"/>
    </w:pPr>
  </w:style>
  <w:style w:type="paragraph" w:customStyle="1" w:styleId="AgendaTitleH2">
    <w:name w:val="Agenda_Title_H2"/>
    <w:basedOn w:val="TitleH1"/>
    <w:next w:val="Normal"/>
    <w:qFormat/>
    <w:rsid w:val="0049285D"/>
    <w:pPr>
      <w:keepNext/>
      <w:keepLines/>
      <w:spacing w:line="240" w:lineRule="exact"/>
      <w:ind w:left="0" w:firstLine="0"/>
      <w:outlineLvl w:val="1"/>
    </w:pPr>
    <w:rPr>
      <w:sz w:val="20"/>
    </w:rPr>
  </w:style>
  <w:style w:type="paragraph" w:styleId="BalloonText">
    <w:name w:val="Balloon Text"/>
    <w:basedOn w:val="Normal"/>
    <w:link w:val="BalloonTextChar"/>
    <w:semiHidden/>
    <w:rsid w:val="0049285D"/>
    <w:rPr>
      <w:rFonts w:ascii="Tahoma" w:hAnsi="Tahoma" w:cs="Tahoma"/>
      <w:sz w:val="16"/>
      <w:szCs w:val="16"/>
    </w:rPr>
  </w:style>
  <w:style w:type="character" w:customStyle="1" w:styleId="BalloonTextChar">
    <w:name w:val="Balloon Text Char"/>
    <w:basedOn w:val="DefaultParagraphFont"/>
    <w:link w:val="BalloonText"/>
    <w:semiHidden/>
    <w:rsid w:val="0049285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285D"/>
    <w:pPr>
      <w:numPr>
        <w:numId w:val="27"/>
      </w:numPr>
      <w:spacing w:after="120"/>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285D"/>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285D"/>
    <w:rPr>
      <w:sz w:val="6"/>
    </w:rPr>
  </w:style>
  <w:style w:type="paragraph" w:customStyle="1" w:styleId="Distribution">
    <w:name w:val="Distribution"/>
    <w:next w:val="Normal"/>
    <w:rsid w:val="0049285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28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uiPriority w:val="99"/>
    <w:rsid w:val="0049285D"/>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49285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285D"/>
  </w:style>
  <w:style w:type="character" w:customStyle="1" w:styleId="EndnoteTextChar">
    <w:name w:val="Endnote Text Char"/>
    <w:basedOn w:val="DefaultParagraphFont"/>
    <w:link w:val="EndnoteText"/>
    <w:semiHidden/>
    <w:rsid w:val="0049285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285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285D"/>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49285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285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285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285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285D"/>
    <w:pPr>
      <w:tabs>
        <w:tab w:val="right" w:pos="9965"/>
      </w:tabs>
      <w:spacing w:line="210" w:lineRule="exact"/>
    </w:pPr>
    <w:rPr>
      <w:spacing w:val="5"/>
      <w:w w:val="104"/>
      <w:sz w:val="17"/>
    </w:rPr>
  </w:style>
  <w:style w:type="paragraph" w:customStyle="1" w:styleId="SmallX">
    <w:name w:val="SmallX"/>
    <w:basedOn w:val="Small"/>
    <w:next w:val="Normal"/>
    <w:rsid w:val="0049285D"/>
    <w:pPr>
      <w:spacing w:line="180" w:lineRule="exact"/>
      <w:jc w:val="right"/>
    </w:pPr>
    <w:rPr>
      <w:spacing w:val="6"/>
      <w:w w:val="106"/>
      <w:sz w:val="14"/>
    </w:rPr>
  </w:style>
  <w:style w:type="paragraph" w:customStyle="1" w:styleId="TitleHCH">
    <w:name w:val="Title_H_CH"/>
    <w:basedOn w:val="Normal"/>
    <w:next w:val="SingleTxt"/>
    <w:qFormat/>
    <w:rsid w:val="0049285D"/>
  </w:style>
  <w:style w:type="paragraph" w:customStyle="1" w:styleId="TitleH2">
    <w:name w:val="Title_H2"/>
    <w:basedOn w:val="H23"/>
    <w:qFormat/>
    <w:rsid w:val="0049285D"/>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285D"/>
    <w:pPr>
      <w:spacing w:line="390" w:lineRule="exact"/>
    </w:pPr>
    <w:rPr>
      <w:spacing w:val="-4"/>
      <w:w w:val="98"/>
      <w:sz w:val="40"/>
    </w:rPr>
  </w:style>
  <w:style w:type="character" w:styleId="Hyperlink">
    <w:name w:val="Hyperlink"/>
    <w:basedOn w:val="DefaultParagraphFont"/>
    <w:uiPriority w:val="99"/>
    <w:rsid w:val="0049285D"/>
    <w:rPr>
      <w:color w:val="0000FF" w:themeColor="hyperlink"/>
      <w:u w:val="single"/>
    </w:rPr>
  </w:style>
  <w:style w:type="paragraph" w:styleId="PlainText">
    <w:name w:val="Plain Text"/>
    <w:basedOn w:val="Normal"/>
    <w:link w:val="PlainTextChar"/>
    <w:rsid w:val="0049285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285D"/>
    <w:rPr>
      <w:rFonts w:ascii="Courier New" w:eastAsia="Times New Roman" w:hAnsi="Courier New" w:cs="Times New Roman"/>
      <w:sz w:val="20"/>
      <w:szCs w:val="20"/>
      <w:lang w:val="en-US" w:eastAsia="en-GB"/>
    </w:rPr>
  </w:style>
  <w:style w:type="paragraph" w:customStyle="1" w:styleId="ReleaseDate0">
    <w:name w:val="Release Date"/>
    <w:next w:val="Footer"/>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285D"/>
    <w:pPr>
      <w:ind w:left="0" w:firstLine="0"/>
    </w:pPr>
    <w:rPr>
      <w:spacing w:val="4"/>
    </w:rPr>
  </w:style>
  <w:style w:type="table" w:styleId="TableGrid">
    <w:name w:val="Table Grid"/>
    <w:basedOn w:val="TableNormal"/>
    <w:rsid w:val="0049285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2013F"/>
    <w:pPr>
      <w:spacing w:line="240" w:lineRule="auto"/>
    </w:pPr>
  </w:style>
  <w:style w:type="character" w:customStyle="1" w:styleId="CommentTextChar">
    <w:name w:val="Comment Text Char"/>
    <w:basedOn w:val="DefaultParagraphFont"/>
    <w:link w:val="CommentText"/>
    <w:uiPriority w:val="99"/>
    <w:semiHidden/>
    <w:rsid w:val="0022013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2013F"/>
    <w:rPr>
      <w:b/>
      <w:bCs/>
    </w:rPr>
  </w:style>
  <w:style w:type="character" w:customStyle="1" w:styleId="CommentSubjectChar">
    <w:name w:val="Comment Subject Char"/>
    <w:basedOn w:val="CommentTextChar"/>
    <w:link w:val="CommentSubject"/>
    <w:uiPriority w:val="99"/>
    <w:semiHidden/>
    <w:rsid w:val="0022013F"/>
    <w:rPr>
      <w:rFonts w:ascii="Times New Roman" w:eastAsiaTheme="minorHAnsi" w:hAnsi="Times New Roman" w:cs="Times New Roman"/>
      <w:b/>
      <w:bCs/>
      <w:spacing w:val="4"/>
      <w:w w:val="103"/>
      <w:kern w:val="14"/>
      <w:sz w:val="20"/>
      <w:szCs w:val="20"/>
      <w:lang w:eastAsia="en-US"/>
    </w:rPr>
  </w:style>
  <w:style w:type="character" w:customStyle="1" w:styleId="H1Char">
    <w:name w:val="_ H_1 Char"/>
    <w:basedOn w:val="HeaderChar"/>
    <w:link w:val="H1"/>
    <w:rsid w:val="00DC3CC0"/>
    <w:rPr>
      <w:rFonts w:ascii="Times New Roman" w:eastAsiaTheme="minorHAnsi" w:hAnsi="Times New Roman" w:cs="Times New Roman"/>
      <w:b/>
      <w:noProof/>
      <w:spacing w:val="4"/>
      <w:w w:val="103"/>
      <w:kern w:val="14"/>
      <w:sz w:val="24"/>
      <w:szCs w:val="20"/>
      <w:lang w:val="en-US" w:eastAsia="en-US"/>
    </w:rPr>
  </w:style>
  <w:style w:type="paragraph" w:styleId="ListParagraph">
    <w:name w:val="List Paragraph"/>
    <w:basedOn w:val="Normal"/>
    <w:uiPriority w:val="34"/>
    <w:qFormat/>
    <w:rsid w:val="00A02AE5"/>
    <w:pPr>
      <w:suppressAutoHyphens w:val="0"/>
      <w:spacing w:after="200" w:line="276" w:lineRule="auto"/>
      <w:ind w:left="720"/>
      <w:contextualSpacing/>
    </w:pPr>
    <w:rPr>
      <w:rFonts w:asciiTheme="minorHAnsi" w:hAnsiTheme="minorHAnsi" w:cstheme="minorBidi"/>
      <w:spacing w:val="0"/>
      <w:w w:val="100"/>
      <w:kern w:val="0"/>
      <w:sz w:val="22"/>
      <w:szCs w:val="22"/>
      <w:lang w:val="es-CR"/>
    </w:rPr>
  </w:style>
  <w:style w:type="paragraph" w:styleId="NormalWeb">
    <w:name w:val="Normal (Web)"/>
    <w:basedOn w:val="Normal"/>
    <w:uiPriority w:val="99"/>
    <w:unhideWhenUsed/>
    <w:rsid w:val="00BF7F9C"/>
    <w:pPr>
      <w:suppressAutoHyphens w:val="0"/>
      <w:spacing w:before="100" w:beforeAutospacing="1" w:after="100" w:afterAutospacing="1" w:line="240" w:lineRule="auto"/>
    </w:pPr>
    <w:rPr>
      <w:rFonts w:ascii="Times" w:hAnsi="Times"/>
      <w:spacing w:val="0"/>
      <w:w w:val="100"/>
      <w:kern w:val="0"/>
      <w:lang w:val="en-US"/>
    </w:rPr>
  </w:style>
  <w:style w:type="character" w:customStyle="1" w:styleId="SingleTxtChar">
    <w:name w:val="__Single Txt Char"/>
    <w:link w:val="SingleTxt"/>
    <w:rsid w:val="00BF7F9C"/>
    <w:rPr>
      <w:rFonts w:ascii="Times New Roman" w:eastAsiaTheme="minorHAnsi" w:hAnsi="Times New Roman" w:cs="Times New Roman"/>
      <w:spacing w:val="4"/>
      <w:w w:val="103"/>
      <w:kern w:val="14"/>
      <w:sz w:val="20"/>
      <w:szCs w:val="20"/>
      <w:lang w:eastAsia="en-US"/>
    </w:rPr>
  </w:style>
  <w:style w:type="character" w:customStyle="1" w:styleId="HChChar">
    <w:name w:val="_ H _Ch Char"/>
    <w:link w:val="HCh"/>
    <w:rsid w:val="00C1566A"/>
    <w:rPr>
      <w:rFonts w:ascii="Times New Roman" w:eastAsiaTheme="minorHAnsi" w:hAnsi="Times New Roman" w:cs="Times New Roman"/>
      <w:b/>
      <w:noProof/>
      <w:spacing w:val="-2"/>
      <w:w w:val="103"/>
      <w:kern w:val="14"/>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docs.org/A/RES/72/1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dc.org/unodc/en/treaties/CTOC/legislative-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602F-E162-4589-ADFB-BD52E73B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9439</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antoaneta.seitz@un.org</dc:creator>
  <cp:keywords/>
  <dc:description/>
  <cp:lastModifiedBy>Tania Banuelos</cp:lastModifiedBy>
  <cp:revision>2</cp:revision>
  <cp:lastPrinted>2019-01-29T09:02:00Z</cp:lastPrinted>
  <dcterms:created xsi:type="dcterms:W3CDTF">2019-02-14T16:24:00Z</dcterms:created>
  <dcterms:modified xsi:type="dcterms:W3CDTF">2019-02-14T16:24:00Z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1707577</vt:lpwstr>
  </property>
  <property fmtid="{D5CDD505-2E9C-101B-9397-08002B2CF9AE}" pid="3" name="ODSRefJobNo">
    <vt:lpwstr>1707577E</vt:lpwstr>
  </property>
  <property fmtid="{D5CDD505-2E9C-101B-9397-08002B2CF9AE}" pid="4" name="Symbol1">
    <vt:lpwstr>CTOC/COP/WG.9/2017/CRP.2</vt:lpwstr>
  </property>
  <property fmtid="{D5CDD505-2E9C-101B-9397-08002B2CF9AE}" pid="5" name="Symbol2">
    <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