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1694"/>
        </w:tabs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ab/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Addressing Drug Abuse together through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a Health Based Approach 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as part of the International Drug Control Conventions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i w:val="1"/>
          <w:iCs w:val="1"/>
          <w:sz w:val="28"/>
          <w:szCs w:val="28"/>
          <w:lang w:val="en-US"/>
        </w:rPr>
      </w:pP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 xml:space="preserve">What areas of policy and practice should be given closer attention in the preparations for UNGASS 2016?  Three presentations on different perspectives within the NGO world, in a follow up to the outcome of the </w:t>
        <w:tab/>
        <w:t>3</w:t>
      </w:r>
      <w:r>
        <w:rPr>
          <w:rFonts w:ascii="Calibri" w:cs="Calibri" w:hAnsi="Calibri" w:eastAsia="Calibri"/>
          <w:i w:val="1"/>
          <w:iCs w:val="1"/>
          <w:sz w:val="28"/>
          <w:szCs w:val="28"/>
          <w:vertAlign w:val="superscript"/>
          <w:rtl w:val="0"/>
          <w:lang w:val="en-US"/>
        </w:rPr>
        <w:t>rd</w:t>
      </w:r>
      <w:r>
        <w:rPr>
          <w:rFonts w:ascii="Calibri" w:cs="Calibri" w:hAnsi="Calibri" w:eastAsia="Calibri"/>
          <w:i w:val="1"/>
          <w:iCs w:val="1"/>
          <w:sz w:val="28"/>
          <w:szCs w:val="28"/>
          <w:rtl w:val="0"/>
          <w:lang w:val="en-US"/>
        </w:rPr>
        <w:t xml:space="preserve"> Informal Civil Society Hearing held during CND 2014.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32"/>
          <w:szCs w:val="32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4 September 2014, 14:00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15:00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Room C3, C-Building,  VIC, Vienna, Austria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  <w:lang w:val="en-US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Opening remarks by H.E. Ambassador Khaled Shamaa, </w:t>
      </w:r>
    </w:p>
    <w:p>
      <w:pPr>
        <w:pStyle w:val="Body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Chair of the 57</w:t>
      </w:r>
      <w:r>
        <w:rPr>
          <w:rFonts w:ascii="Calibri" w:cs="Calibri" w:hAnsi="Calibri" w:eastAsia="Calibri"/>
          <w:sz w:val="28"/>
          <w:szCs w:val="28"/>
          <w:vertAlign w:val="superscript"/>
          <w:rtl w:val="0"/>
          <w:lang w:val="en-US"/>
        </w:rPr>
        <w:t>th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Commission on Narcotic Drugs 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Speakers</w:t>
      </w:r>
    </w:p>
    <w:p>
      <w:pPr>
        <w:pStyle w:val="Body"/>
        <w:rPr>
          <w:rFonts w:ascii="Calibri" w:cs="Calibri" w:hAnsi="Calibri" w:eastAsia="Calibri"/>
          <w:b w:val="1"/>
          <w:bCs w:val="1"/>
          <w:lang w:val="en-US"/>
        </w:rPr>
      </w:pPr>
    </w:p>
    <w:p>
      <w:pPr>
        <w:pStyle w:val="Plain Text"/>
        <w:numPr>
          <w:ilvl w:val="0"/>
          <w:numId w:val="3"/>
        </w:numPr>
        <w:tabs>
          <w:tab w:val="num" w:pos="643"/>
          <w:tab w:val="clear" w:pos="720"/>
        </w:tabs>
        <w:ind w:left="643" w:hanging="283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J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ò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n Sig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ù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fsson,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"Youth in Europe - Drug Prevention Programme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”</w:t>
      </w:r>
    </w:p>
    <w:p>
      <w:pPr>
        <w:pStyle w:val="Plain Text"/>
        <w:rPr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Plain Text"/>
        <w:numPr>
          <w:ilvl w:val="0"/>
          <w:numId w:val="4"/>
        </w:numPr>
        <w:tabs>
          <w:tab w:val="num" w:pos="643"/>
          <w:tab w:val="clear" w:pos="720"/>
        </w:tabs>
        <w:ind w:left="643" w:hanging="283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Jamie Bridge, IDPC; "A Harm Reduction Perspective"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 </w:t>
      </w:r>
    </w:p>
    <w:p>
      <w:pPr>
        <w:pStyle w:val="Plain Text"/>
        <w:rPr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List Paragraph"/>
        <w:numPr>
          <w:ilvl w:val="0"/>
          <w:numId w:val="5"/>
        </w:numPr>
        <w:tabs>
          <w:tab w:val="num" w:pos="669"/>
          <w:tab w:val="clear" w:pos="720"/>
        </w:tabs>
        <w:ind w:left="669" w:hanging="309"/>
        <w:rPr>
          <w:position w:val="0"/>
          <w:sz w:val="24"/>
          <w:szCs w:val="24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Elisa Rubini; San Patrignano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“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 Community for Life"</w:t>
      </w:r>
    </w:p>
    <w:p>
      <w:pPr>
        <w:pStyle w:val="Body"/>
        <w:rPr>
          <w:rFonts w:ascii="Calibri" w:cs="Calibri" w:hAnsi="Calibri" w:eastAsia="Calibri"/>
          <w:lang w:val="en-US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lang w:val="en-US"/>
        </w:rPr>
      </w:pPr>
    </w:p>
    <w:p>
      <w:pPr>
        <w:pStyle w:val="Body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Moderation</w:t>
      </w:r>
    </w:p>
    <w:p>
      <w:pPr>
        <w:pStyle w:val="Body"/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Martin Matter, Permanent Mission of Switzerland 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8620"/>
        <w:tab w:val="clear" w:pos="9072"/>
      </w:tabs>
    </w:pPr>
    <w:r>
      <w:rPr>
        <w:rtl w:val="0"/>
      </w:rPr>
      <w:drawing>
        <wp:inline distT="0" distB="0" distL="0" distR="0">
          <wp:extent cx="1457778" cy="991240"/>
          <wp:effectExtent l="0" t="0" r="0" b="0"/>
          <wp:docPr id="1073741825" name="officeArt object" descr="C:\Users\DQuittan\Desktop\VNGOC\Vorlagen\VNGOC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DQuittan\Desktop\VNGOC\Vorlagen\VNGOC 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778" cy="99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ab/>
      <w:tab/>
    </w:r>
    <w:r>
      <w:rPr>
        <w:rtl w:val="0"/>
      </w:rPr>
      <w:drawing>
        <wp:inline distT="0" distB="0" distL="0" distR="0">
          <wp:extent cx="2042161" cy="1036320"/>
          <wp:effectExtent l="0" t="0" r="0" b="0"/>
          <wp:docPr id="1073741826" name="officeArt object" descr="C:\Users\mnm\AppData\Local\Microsoft\Windows\Temporary Internet Files\Content.Outlook\WA4M1LS4\VIC_RGB_hoch_pos_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mnm\AppData\Local\Microsoft\Windows\Temporary Internet Files\Content.Outlook\WA4M1LS4\VIC_RGB_hoch_pos_EN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1" cy="1036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</w:rPr>
    </w:lvl>
    <w:lvl w:ilvl="1">
      <w:start w:val="1"/>
      <w:numFmt w:val="bullet"/>
      <w:suff w:val="tab"/>
      <w:lvlText w:val="o"/>
      <w:lvlJc w:val="left"/>
      <w:pPr/>
      <w:rPr>
        <w:position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</w:rPr>
    </w:lvl>
    <w:lvl w:ilvl="4">
      <w:start w:val="1"/>
      <w:numFmt w:val="bullet"/>
      <w:suff w:val="tab"/>
      <w:lvlText w:val="o"/>
      <w:lvlJc w:val="left"/>
      <w:pPr/>
      <w:rPr>
        <w:position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</w:rPr>
    </w:lvl>
    <w:lvl w:ilvl="7">
      <w:start w:val="1"/>
      <w:numFmt w:val="bullet"/>
      <w:suff w:val="tab"/>
      <w:lvlText w:val="o"/>
      <w:lvlJc w:val="left"/>
      <w:pPr/>
      <w:rPr>
        <w:position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rtl w:val="0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2"/>
        <w:szCs w:val="22"/>
        <w:lang w:val="de-DE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Calibri" w:cs="Calibri" w:hAnsi="Calibri" w:eastAsia="Calibri"/>
        <w:position w:val="0"/>
        <w:sz w:val="28"/>
        <w:szCs w:val="28"/>
        <w:lang w:val="en-US"/>
      </w:rPr>
    </w:lvl>
  </w:abstractNum>
  <w:abstractNum w:abstractNumId="4">
    <w:multiLevelType w:val="multilevel"/>
    <w:styleLink w:val="List 0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rtl w:val="0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500"/>
          <w:tab w:val="clear" w:pos="0"/>
        </w:tabs>
        <w:ind w:left="15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220"/>
          <w:tab w:val="clear" w:pos="0"/>
        </w:tabs>
        <w:ind w:left="22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940"/>
          <w:tab w:val="clear" w:pos="0"/>
        </w:tabs>
        <w:ind w:left="29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60"/>
          <w:tab w:val="clear" w:pos="0"/>
        </w:tabs>
        <w:ind w:left="366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80"/>
          <w:tab w:val="clear" w:pos="0"/>
        </w:tabs>
        <w:ind w:left="438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100"/>
          <w:tab w:val="clear" w:pos="0"/>
        </w:tabs>
        <w:ind w:left="510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820"/>
          <w:tab w:val="clear" w:pos="0"/>
        </w:tabs>
        <w:ind w:left="582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540"/>
          <w:tab w:val="clear" w:pos="0"/>
        </w:tabs>
        <w:ind w:left="6540" w:hanging="420"/>
      </w:pPr>
      <w:rPr>
        <w:rFonts w:ascii="Calibri" w:cs="Calibri" w:hAnsi="Calibri" w:eastAsia="Calibri"/>
        <w:position w:val="0"/>
        <w:sz w:val="28"/>
        <w:szCs w:val="28"/>
        <w:rtl w:val="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Plain Text">
    <w:name w:val="Plain Text"/>
    <w:next w:val="Plain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